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2B0E" w14:textId="760DC719" w:rsidR="00431D19" w:rsidRDefault="00431D19" w:rsidP="008778FE">
      <w:pPr>
        <w:spacing w:after="0" w:line="240" w:lineRule="auto"/>
        <w:jc w:val="center"/>
        <w:rPr>
          <w:rFonts w:ascii="Arial" w:hAnsi="Arial" w:cs="Arial"/>
          <w:b/>
          <w:sz w:val="24"/>
          <w:szCs w:val="24"/>
          <w:u w:val="single"/>
        </w:rPr>
      </w:pPr>
    </w:p>
    <w:p w14:paraId="4F7AF9C1" w14:textId="417ED709" w:rsidR="004846CC" w:rsidRPr="008778FE" w:rsidRDefault="00A856E3" w:rsidP="008778FE">
      <w:pPr>
        <w:spacing w:after="0" w:line="240" w:lineRule="auto"/>
        <w:jc w:val="center"/>
        <w:rPr>
          <w:rFonts w:ascii="Arial" w:hAnsi="Arial" w:cs="Arial"/>
          <w:b/>
          <w:sz w:val="24"/>
          <w:szCs w:val="24"/>
          <w:u w:val="single"/>
        </w:rPr>
      </w:pPr>
      <w:proofErr w:type="spellStart"/>
      <w:r>
        <w:rPr>
          <w:rFonts w:ascii="Arial" w:hAnsi="Arial" w:cs="Arial"/>
          <w:b/>
          <w:sz w:val="24"/>
          <w:szCs w:val="24"/>
          <w:u w:val="single"/>
        </w:rPr>
        <w:t>Canllawiau</w:t>
      </w:r>
      <w:proofErr w:type="spellEnd"/>
      <w:r w:rsidR="004846CC" w:rsidRPr="008778FE">
        <w:rPr>
          <w:rFonts w:ascii="Arial" w:hAnsi="Arial" w:cs="Arial"/>
          <w:b/>
          <w:sz w:val="24"/>
          <w:szCs w:val="24"/>
          <w:u w:val="single"/>
        </w:rPr>
        <w:t xml:space="preserve"> </w:t>
      </w:r>
      <w:proofErr w:type="spellStart"/>
      <w:r w:rsidR="004846CC" w:rsidRPr="008778FE">
        <w:rPr>
          <w:rFonts w:ascii="Arial" w:hAnsi="Arial" w:cs="Arial"/>
          <w:b/>
          <w:sz w:val="24"/>
          <w:szCs w:val="24"/>
          <w:u w:val="single"/>
        </w:rPr>
        <w:t>Cymunedau</w:t>
      </w:r>
      <w:proofErr w:type="spellEnd"/>
      <w:r w:rsidR="004846CC" w:rsidRPr="008778FE">
        <w:rPr>
          <w:rFonts w:ascii="Arial" w:hAnsi="Arial" w:cs="Arial"/>
          <w:b/>
          <w:sz w:val="24"/>
          <w:szCs w:val="24"/>
          <w:u w:val="single"/>
        </w:rPr>
        <w:t xml:space="preserve"> </w:t>
      </w:r>
      <w:proofErr w:type="spellStart"/>
      <w:r w:rsidR="004846CC" w:rsidRPr="008778FE">
        <w:rPr>
          <w:rFonts w:ascii="Arial" w:hAnsi="Arial" w:cs="Arial"/>
          <w:b/>
          <w:sz w:val="24"/>
          <w:szCs w:val="24"/>
          <w:u w:val="single"/>
        </w:rPr>
        <w:t>Gwyrdd</w:t>
      </w:r>
      <w:proofErr w:type="spellEnd"/>
    </w:p>
    <w:p w14:paraId="3BCC34A9" w14:textId="6F3DDEA9" w:rsidR="004846CC" w:rsidRPr="008778FE" w:rsidRDefault="004846CC" w:rsidP="008778FE">
      <w:pPr>
        <w:spacing w:after="0" w:line="240" w:lineRule="auto"/>
        <w:jc w:val="center"/>
        <w:rPr>
          <w:rFonts w:ascii="Arial" w:hAnsi="Arial" w:cs="Arial"/>
          <w:b/>
          <w:sz w:val="24"/>
          <w:szCs w:val="24"/>
          <w:u w:val="single"/>
        </w:rPr>
      </w:pPr>
      <w:r w:rsidRPr="008778FE">
        <w:rPr>
          <w:rFonts w:ascii="Arial" w:hAnsi="Arial" w:cs="Arial"/>
          <w:b/>
          <w:sz w:val="24"/>
          <w:szCs w:val="24"/>
          <w:u w:val="single"/>
        </w:rPr>
        <w:t xml:space="preserve">Green Communities </w:t>
      </w:r>
      <w:r w:rsidR="00A856E3">
        <w:rPr>
          <w:rFonts w:ascii="Arial" w:hAnsi="Arial" w:cs="Arial"/>
          <w:b/>
          <w:sz w:val="24"/>
          <w:szCs w:val="24"/>
          <w:u w:val="single"/>
        </w:rPr>
        <w:t>Guidance Notes</w:t>
      </w:r>
    </w:p>
    <w:p w14:paraId="240CFF2E" w14:textId="77777777" w:rsidR="00DB2367" w:rsidRPr="008778FE" w:rsidRDefault="00DB2367" w:rsidP="008778FE">
      <w:pPr>
        <w:spacing w:after="0" w:line="240" w:lineRule="auto"/>
        <w:rPr>
          <w:rFonts w:ascii="Arial" w:hAnsi="Arial" w:cs="Arial"/>
          <w:sz w:val="24"/>
          <w:szCs w:val="24"/>
        </w:rPr>
      </w:pPr>
    </w:p>
    <w:p w14:paraId="014AB156" w14:textId="77777777" w:rsidR="004846CC" w:rsidRPr="008778FE" w:rsidRDefault="004846CC" w:rsidP="008778FE">
      <w:pPr>
        <w:spacing w:after="0" w:line="240" w:lineRule="auto"/>
        <w:rPr>
          <w:rFonts w:ascii="Arial" w:hAnsi="Arial" w:cs="Arial"/>
          <w:b/>
          <w:i/>
          <w:sz w:val="24"/>
          <w:szCs w:val="24"/>
        </w:rPr>
      </w:pPr>
      <w:r w:rsidRPr="008778FE">
        <w:rPr>
          <w:rFonts w:ascii="Arial" w:hAnsi="Arial" w:cs="Arial"/>
          <w:b/>
          <w:i/>
          <w:sz w:val="24"/>
          <w:szCs w:val="24"/>
        </w:rPr>
        <w:t>What is the Green Communities Fund?</w:t>
      </w:r>
    </w:p>
    <w:p w14:paraId="2981F0E8" w14:textId="2B069D15" w:rsidR="00120016" w:rsidRPr="008778FE" w:rsidRDefault="00120016" w:rsidP="008778FE">
      <w:pPr>
        <w:spacing w:after="0" w:line="240" w:lineRule="auto"/>
        <w:rPr>
          <w:rFonts w:ascii="Arial" w:hAnsi="Arial" w:cs="Arial"/>
          <w:sz w:val="24"/>
          <w:szCs w:val="24"/>
        </w:rPr>
      </w:pPr>
      <w:r w:rsidRPr="008778FE">
        <w:rPr>
          <w:rFonts w:ascii="Arial" w:hAnsi="Arial" w:cs="Arial"/>
          <w:sz w:val="24"/>
          <w:szCs w:val="24"/>
        </w:rPr>
        <w:t>The Green Communities Fund</w:t>
      </w:r>
      <w:r w:rsidR="00F8289F" w:rsidRPr="008778FE">
        <w:rPr>
          <w:rFonts w:ascii="Arial" w:hAnsi="Arial" w:cs="Arial"/>
          <w:sz w:val="24"/>
          <w:szCs w:val="24"/>
        </w:rPr>
        <w:t xml:space="preserve"> is a project which</w:t>
      </w:r>
      <w:r w:rsidRPr="008778FE">
        <w:rPr>
          <w:rFonts w:ascii="Arial" w:hAnsi="Arial" w:cs="Arial"/>
          <w:sz w:val="24"/>
          <w:szCs w:val="24"/>
        </w:rPr>
        <w:t xml:space="preserve"> will support improvements to where people live, work and play by delivering against the wellbeing goals in the Wellbeing and Future Generations Act. It will adopt a place-based approach by supporting collaboration and community</w:t>
      </w:r>
      <w:r w:rsidR="00371794">
        <w:rPr>
          <w:rFonts w:ascii="Arial" w:hAnsi="Arial" w:cs="Arial"/>
          <w:sz w:val="24"/>
          <w:szCs w:val="24"/>
        </w:rPr>
        <w:t>-</w:t>
      </w:r>
      <w:r w:rsidRPr="008778FE">
        <w:rPr>
          <w:rFonts w:ascii="Arial" w:hAnsi="Arial" w:cs="Arial"/>
          <w:sz w:val="24"/>
          <w:szCs w:val="24"/>
        </w:rPr>
        <w:t>led initiatives within towns and villages.</w:t>
      </w:r>
      <w:r w:rsidR="00371794">
        <w:rPr>
          <w:rFonts w:ascii="Arial" w:hAnsi="Arial" w:cs="Arial"/>
          <w:sz w:val="24"/>
          <w:szCs w:val="24"/>
        </w:rPr>
        <w:t xml:space="preserve"> </w:t>
      </w:r>
      <w:r w:rsidRPr="008778FE">
        <w:rPr>
          <w:rFonts w:ascii="Arial" w:hAnsi="Arial" w:cs="Arial"/>
          <w:sz w:val="24"/>
          <w:szCs w:val="24"/>
        </w:rPr>
        <w:t>Up to 30 communities will participate in the project.</w:t>
      </w:r>
      <w:r w:rsidR="00371794">
        <w:rPr>
          <w:rFonts w:ascii="Arial" w:hAnsi="Arial" w:cs="Arial"/>
          <w:sz w:val="24"/>
          <w:szCs w:val="24"/>
        </w:rPr>
        <w:t xml:space="preserve"> </w:t>
      </w:r>
      <w:r w:rsidRPr="008778FE">
        <w:rPr>
          <w:rFonts w:ascii="Arial" w:hAnsi="Arial" w:cs="Arial"/>
          <w:sz w:val="24"/>
          <w:szCs w:val="24"/>
        </w:rPr>
        <w:t>These will be selected through an open call process to participate in the project.</w:t>
      </w:r>
      <w:r w:rsidR="00371794">
        <w:rPr>
          <w:rFonts w:ascii="Arial" w:hAnsi="Arial" w:cs="Arial"/>
          <w:sz w:val="24"/>
          <w:szCs w:val="24"/>
        </w:rPr>
        <w:t xml:space="preserve"> </w:t>
      </w:r>
      <w:r w:rsidRPr="008778FE">
        <w:rPr>
          <w:rFonts w:ascii="Arial" w:hAnsi="Arial" w:cs="Arial"/>
          <w:sz w:val="24"/>
          <w:szCs w:val="24"/>
        </w:rPr>
        <w:t>Th</w:t>
      </w:r>
      <w:r w:rsidR="000F49A1" w:rsidRPr="008778FE">
        <w:rPr>
          <w:rFonts w:ascii="Arial" w:hAnsi="Arial" w:cs="Arial"/>
          <w:sz w:val="24"/>
          <w:szCs w:val="24"/>
        </w:rPr>
        <w:t>is guidance sets out the requirement for submitting a Project Proposal following an open call for projects / community proposals.  Projects</w:t>
      </w:r>
      <w:r w:rsidRPr="008778FE">
        <w:rPr>
          <w:rFonts w:ascii="Arial" w:hAnsi="Arial" w:cs="Arial"/>
          <w:sz w:val="24"/>
          <w:szCs w:val="24"/>
        </w:rPr>
        <w:t xml:space="preserve"> </w:t>
      </w:r>
      <w:r w:rsidR="000F49A1" w:rsidRPr="008778FE">
        <w:rPr>
          <w:rFonts w:ascii="Arial" w:hAnsi="Arial" w:cs="Arial"/>
          <w:sz w:val="24"/>
          <w:szCs w:val="24"/>
        </w:rPr>
        <w:t xml:space="preserve">submitted as part of the open call process will need to </w:t>
      </w:r>
      <w:r w:rsidRPr="008778FE">
        <w:rPr>
          <w:rFonts w:ascii="Arial" w:hAnsi="Arial" w:cs="Arial"/>
          <w:sz w:val="24"/>
          <w:szCs w:val="24"/>
        </w:rPr>
        <w:t xml:space="preserve">set out proposals for delivering access to services and community enterprises which focus on integrating the principles of SMNR </w:t>
      </w:r>
      <w:r w:rsidR="00371794">
        <w:rPr>
          <w:rFonts w:ascii="Arial" w:hAnsi="Arial" w:cs="Arial"/>
          <w:sz w:val="24"/>
          <w:szCs w:val="24"/>
        </w:rPr>
        <w:t xml:space="preserve">(Sustainable Management of Natural Resources) </w:t>
      </w:r>
      <w:r w:rsidRPr="008778FE">
        <w:rPr>
          <w:rFonts w:ascii="Arial" w:hAnsi="Arial" w:cs="Arial"/>
          <w:sz w:val="24"/>
          <w:szCs w:val="24"/>
        </w:rPr>
        <w:t>into community activities and facilities.  The criteria to participate will require communities to deliver projects</w:t>
      </w:r>
      <w:r w:rsidR="000F49A1" w:rsidRPr="008778FE">
        <w:rPr>
          <w:rFonts w:ascii="Arial" w:hAnsi="Arial" w:cs="Arial"/>
          <w:sz w:val="24"/>
          <w:szCs w:val="24"/>
        </w:rPr>
        <w:t xml:space="preserve"> which contribute to the following</w:t>
      </w:r>
      <w:r w:rsidRPr="008778FE">
        <w:rPr>
          <w:rFonts w:ascii="Arial" w:hAnsi="Arial" w:cs="Arial"/>
          <w:sz w:val="24"/>
          <w:szCs w:val="24"/>
        </w:rPr>
        <w:t>:</w:t>
      </w:r>
    </w:p>
    <w:p w14:paraId="7903C4C1" w14:textId="77777777" w:rsidR="00120016" w:rsidRPr="008778FE" w:rsidRDefault="00120016" w:rsidP="008778FE">
      <w:pPr>
        <w:pStyle w:val="ListParagraph"/>
        <w:numPr>
          <w:ilvl w:val="0"/>
          <w:numId w:val="6"/>
        </w:numPr>
        <w:spacing w:after="0" w:line="240" w:lineRule="auto"/>
        <w:rPr>
          <w:rFonts w:ascii="Arial" w:hAnsi="Arial" w:cs="Arial"/>
          <w:sz w:val="24"/>
          <w:szCs w:val="24"/>
        </w:rPr>
      </w:pPr>
      <w:r w:rsidRPr="008778FE">
        <w:rPr>
          <w:rFonts w:ascii="Arial" w:hAnsi="Arial" w:cs="Arial"/>
          <w:sz w:val="24"/>
          <w:szCs w:val="24"/>
        </w:rPr>
        <w:t xml:space="preserve">Improving and enhancing local environment quality; </w:t>
      </w:r>
    </w:p>
    <w:p w14:paraId="20A0089A" w14:textId="77777777" w:rsidR="00120016" w:rsidRPr="008778FE" w:rsidRDefault="00120016" w:rsidP="008778FE">
      <w:pPr>
        <w:pStyle w:val="ListParagraph"/>
        <w:numPr>
          <w:ilvl w:val="0"/>
          <w:numId w:val="6"/>
        </w:numPr>
        <w:spacing w:after="0" w:line="240" w:lineRule="auto"/>
        <w:rPr>
          <w:rFonts w:ascii="Arial" w:hAnsi="Arial" w:cs="Arial"/>
          <w:sz w:val="24"/>
          <w:szCs w:val="24"/>
        </w:rPr>
      </w:pPr>
      <w:r w:rsidRPr="008778FE">
        <w:rPr>
          <w:rFonts w:ascii="Arial" w:hAnsi="Arial" w:cs="Arial"/>
          <w:sz w:val="24"/>
          <w:szCs w:val="24"/>
        </w:rPr>
        <w:t xml:space="preserve">Active sustainable management of natural resources; </w:t>
      </w:r>
    </w:p>
    <w:p w14:paraId="3676CE24" w14:textId="77777777" w:rsidR="00120016" w:rsidRPr="008778FE" w:rsidRDefault="00120016" w:rsidP="008778FE">
      <w:pPr>
        <w:pStyle w:val="ListParagraph"/>
        <w:numPr>
          <w:ilvl w:val="0"/>
          <w:numId w:val="6"/>
        </w:numPr>
        <w:spacing w:after="0" w:line="240" w:lineRule="auto"/>
        <w:rPr>
          <w:rFonts w:ascii="Arial" w:hAnsi="Arial" w:cs="Arial"/>
          <w:sz w:val="24"/>
          <w:szCs w:val="24"/>
        </w:rPr>
      </w:pPr>
      <w:r w:rsidRPr="008778FE">
        <w:rPr>
          <w:rFonts w:ascii="Arial" w:hAnsi="Arial" w:cs="Arial"/>
          <w:sz w:val="24"/>
          <w:szCs w:val="24"/>
        </w:rPr>
        <w:t>Developing and improving access to sustainable green infrastructure; and</w:t>
      </w:r>
    </w:p>
    <w:p w14:paraId="06CF1EE3" w14:textId="77777777" w:rsidR="00120016" w:rsidRPr="008778FE" w:rsidRDefault="00120016" w:rsidP="008778FE">
      <w:pPr>
        <w:pStyle w:val="ListParagraph"/>
        <w:numPr>
          <w:ilvl w:val="0"/>
          <w:numId w:val="6"/>
        </w:numPr>
        <w:spacing w:after="0" w:line="240" w:lineRule="auto"/>
        <w:rPr>
          <w:rFonts w:ascii="Arial" w:hAnsi="Arial" w:cs="Arial"/>
          <w:sz w:val="24"/>
          <w:szCs w:val="24"/>
        </w:rPr>
      </w:pPr>
      <w:r w:rsidRPr="008778FE">
        <w:rPr>
          <w:rFonts w:ascii="Arial" w:hAnsi="Arial" w:cs="Arial"/>
          <w:sz w:val="24"/>
          <w:szCs w:val="24"/>
        </w:rPr>
        <w:t xml:space="preserve">Improving ecosystem resilience; </w:t>
      </w:r>
    </w:p>
    <w:p w14:paraId="52E09BD7" w14:textId="77777777" w:rsidR="004846CC" w:rsidRPr="008778FE" w:rsidRDefault="004846CC" w:rsidP="008778FE">
      <w:pPr>
        <w:spacing w:after="0" w:line="240" w:lineRule="auto"/>
        <w:rPr>
          <w:rFonts w:ascii="Arial" w:hAnsi="Arial" w:cs="Arial"/>
          <w:sz w:val="24"/>
          <w:szCs w:val="24"/>
        </w:rPr>
      </w:pPr>
    </w:p>
    <w:p w14:paraId="0DC77BD9" w14:textId="77B1DAD7" w:rsidR="00120016" w:rsidRPr="008778FE" w:rsidRDefault="00120016" w:rsidP="008778FE">
      <w:pPr>
        <w:spacing w:after="0" w:line="240" w:lineRule="auto"/>
        <w:rPr>
          <w:rFonts w:ascii="Arial" w:eastAsia="Times New Roman" w:hAnsi="Arial" w:cs="Arial"/>
          <w:color w:val="000000" w:themeColor="text1"/>
          <w:sz w:val="24"/>
          <w:szCs w:val="24"/>
          <w:lang w:eastAsia="en-GB"/>
        </w:rPr>
      </w:pPr>
      <w:r w:rsidRPr="008778FE">
        <w:rPr>
          <w:rFonts w:ascii="Arial" w:eastAsia="Times New Roman" w:hAnsi="Arial" w:cs="Arial"/>
          <w:color w:val="000000" w:themeColor="text1"/>
          <w:sz w:val="24"/>
          <w:szCs w:val="24"/>
          <w:lang w:eastAsia="en-GB"/>
        </w:rPr>
        <w:t xml:space="preserve">The </w:t>
      </w:r>
      <w:r w:rsidR="000F49A1" w:rsidRPr="008778FE">
        <w:rPr>
          <w:rFonts w:ascii="Arial" w:eastAsia="Times New Roman" w:hAnsi="Arial" w:cs="Arial"/>
          <w:color w:val="000000" w:themeColor="text1"/>
          <w:sz w:val="24"/>
          <w:szCs w:val="24"/>
          <w:lang w:eastAsia="en-GB"/>
        </w:rPr>
        <w:t>30 successful</w:t>
      </w:r>
      <w:r w:rsidRPr="008778FE">
        <w:rPr>
          <w:rFonts w:ascii="Arial" w:eastAsia="Times New Roman" w:hAnsi="Arial" w:cs="Arial"/>
          <w:color w:val="000000" w:themeColor="text1"/>
          <w:sz w:val="24"/>
          <w:szCs w:val="24"/>
          <w:lang w:eastAsia="en-GB"/>
        </w:rPr>
        <w:t xml:space="preserve"> communities will be implementing actions which support access to services and community enterprises and facilities to increase their resilience by tackling issues such as:</w:t>
      </w:r>
    </w:p>
    <w:p w14:paraId="38E6E729" w14:textId="77777777" w:rsidR="00120016" w:rsidRPr="008778FE" w:rsidRDefault="00120016" w:rsidP="008778FE">
      <w:pPr>
        <w:pStyle w:val="ListParagraph"/>
        <w:widowControl w:val="0"/>
        <w:numPr>
          <w:ilvl w:val="0"/>
          <w:numId w:val="7"/>
        </w:numPr>
        <w:spacing w:after="0" w:line="240" w:lineRule="auto"/>
        <w:ind w:left="1134" w:hanging="425"/>
        <w:rPr>
          <w:rFonts w:ascii="Arial" w:eastAsia="Times New Roman" w:hAnsi="Arial" w:cs="Arial"/>
          <w:color w:val="000000" w:themeColor="text1"/>
          <w:sz w:val="24"/>
          <w:szCs w:val="24"/>
          <w:lang w:eastAsia="en-GB"/>
        </w:rPr>
      </w:pPr>
      <w:r w:rsidRPr="008778FE">
        <w:rPr>
          <w:rFonts w:ascii="Arial" w:eastAsia="Times New Roman" w:hAnsi="Arial" w:cs="Arial"/>
          <w:color w:val="000000" w:themeColor="text1"/>
          <w:sz w:val="24"/>
          <w:szCs w:val="24"/>
          <w:lang w:eastAsia="en-GB"/>
        </w:rPr>
        <w:t>Poverty – for example, rural poverty, fuel poverty, in work poverty and poverty in relation to access to services</w:t>
      </w:r>
    </w:p>
    <w:p w14:paraId="0D3ED3A2" w14:textId="77777777" w:rsidR="00120016" w:rsidRPr="008778FE" w:rsidRDefault="00120016" w:rsidP="008778FE">
      <w:pPr>
        <w:pStyle w:val="ListParagraph"/>
        <w:widowControl w:val="0"/>
        <w:numPr>
          <w:ilvl w:val="0"/>
          <w:numId w:val="7"/>
        </w:numPr>
        <w:spacing w:after="0" w:line="240" w:lineRule="auto"/>
        <w:ind w:left="1134" w:hanging="425"/>
        <w:rPr>
          <w:rFonts w:ascii="Arial" w:eastAsia="Times New Roman" w:hAnsi="Arial" w:cs="Arial"/>
          <w:color w:val="000000" w:themeColor="text1"/>
          <w:sz w:val="24"/>
          <w:szCs w:val="24"/>
          <w:lang w:eastAsia="en-GB"/>
        </w:rPr>
      </w:pPr>
      <w:r w:rsidRPr="008778FE">
        <w:rPr>
          <w:rFonts w:ascii="Arial" w:eastAsia="Times New Roman" w:hAnsi="Arial" w:cs="Arial"/>
          <w:color w:val="000000" w:themeColor="text1"/>
          <w:sz w:val="24"/>
          <w:szCs w:val="24"/>
          <w:lang w:eastAsia="en-GB"/>
        </w:rPr>
        <w:t>Financial sustainability – supporting green initiatives which form part of community enterprises and services with the aim of ensuring financial viability and sustainability of these assets</w:t>
      </w:r>
    </w:p>
    <w:p w14:paraId="3E49A91F" w14:textId="77777777" w:rsidR="00120016" w:rsidRPr="008778FE" w:rsidRDefault="00120016" w:rsidP="008778FE">
      <w:pPr>
        <w:pStyle w:val="ListParagraph"/>
        <w:widowControl w:val="0"/>
        <w:numPr>
          <w:ilvl w:val="0"/>
          <w:numId w:val="7"/>
        </w:numPr>
        <w:spacing w:after="0" w:line="240" w:lineRule="auto"/>
        <w:ind w:left="1134" w:hanging="425"/>
        <w:rPr>
          <w:rFonts w:ascii="Arial" w:eastAsia="Times New Roman" w:hAnsi="Arial" w:cs="Arial"/>
          <w:color w:val="000000" w:themeColor="text1"/>
          <w:sz w:val="24"/>
          <w:szCs w:val="24"/>
          <w:lang w:eastAsia="en-GB"/>
        </w:rPr>
      </w:pPr>
      <w:r w:rsidRPr="008778FE">
        <w:rPr>
          <w:rFonts w:ascii="Arial" w:eastAsia="Times New Roman" w:hAnsi="Arial" w:cs="Arial"/>
          <w:color w:val="000000" w:themeColor="text1"/>
          <w:sz w:val="24"/>
          <w:szCs w:val="24"/>
          <w:lang w:eastAsia="en-GB"/>
        </w:rPr>
        <w:t>Climate change – through incorporating climate change mitigation and carbon reduction in services offered by community groups</w:t>
      </w:r>
    </w:p>
    <w:p w14:paraId="2AE9D7BD" w14:textId="77777777" w:rsidR="00120016" w:rsidRPr="008778FE" w:rsidRDefault="00120016" w:rsidP="008778FE">
      <w:pPr>
        <w:pStyle w:val="ListParagraph"/>
        <w:widowControl w:val="0"/>
        <w:numPr>
          <w:ilvl w:val="0"/>
          <w:numId w:val="7"/>
        </w:numPr>
        <w:spacing w:after="0" w:line="240" w:lineRule="auto"/>
        <w:ind w:left="1134" w:hanging="425"/>
        <w:rPr>
          <w:rFonts w:ascii="Arial" w:eastAsia="Times New Roman" w:hAnsi="Arial" w:cs="Arial"/>
          <w:color w:val="000000" w:themeColor="text1"/>
          <w:sz w:val="24"/>
          <w:szCs w:val="24"/>
          <w:lang w:eastAsia="en-GB"/>
        </w:rPr>
      </w:pPr>
      <w:r w:rsidRPr="008778FE">
        <w:rPr>
          <w:rFonts w:ascii="Arial" w:eastAsia="Times New Roman" w:hAnsi="Arial" w:cs="Arial"/>
          <w:color w:val="000000" w:themeColor="text1"/>
          <w:sz w:val="24"/>
          <w:szCs w:val="24"/>
          <w:lang w:eastAsia="en-GB"/>
        </w:rPr>
        <w:t>Environment quality – through provision of local services without the need to travel</w:t>
      </w:r>
    </w:p>
    <w:p w14:paraId="68064074" w14:textId="77777777" w:rsidR="00120016" w:rsidRPr="008778FE" w:rsidRDefault="00120016" w:rsidP="008778FE">
      <w:pPr>
        <w:pStyle w:val="ListParagraph"/>
        <w:widowControl w:val="0"/>
        <w:numPr>
          <w:ilvl w:val="0"/>
          <w:numId w:val="7"/>
        </w:numPr>
        <w:spacing w:after="0" w:line="240" w:lineRule="auto"/>
        <w:ind w:left="1134" w:hanging="425"/>
        <w:rPr>
          <w:rFonts w:ascii="Arial" w:eastAsia="Times New Roman" w:hAnsi="Arial" w:cs="Arial"/>
          <w:color w:val="000000" w:themeColor="text1"/>
          <w:sz w:val="24"/>
          <w:szCs w:val="24"/>
          <w:lang w:eastAsia="en-GB"/>
        </w:rPr>
      </w:pPr>
      <w:r w:rsidRPr="008778FE">
        <w:rPr>
          <w:rFonts w:ascii="Arial" w:eastAsia="Times New Roman" w:hAnsi="Arial" w:cs="Arial"/>
          <w:color w:val="000000" w:themeColor="text1"/>
          <w:sz w:val="24"/>
          <w:szCs w:val="24"/>
          <w:lang w:eastAsia="en-GB"/>
        </w:rPr>
        <w:t xml:space="preserve">Social exclusion – supporting community led services and facilities with emphasis on equal opportunity and social inclusion. </w:t>
      </w:r>
    </w:p>
    <w:p w14:paraId="322950D5" w14:textId="1D11EEED" w:rsidR="000F49A1" w:rsidRPr="008778FE" w:rsidRDefault="000F49A1" w:rsidP="008778FE">
      <w:pPr>
        <w:spacing w:after="0" w:line="240" w:lineRule="auto"/>
        <w:rPr>
          <w:rFonts w:ascii="Arial" w:hAnsi="Arial" w:cs="Arial"/>
          <w:color w:val="000000"/>
          <w:sz w:val="24"/>
          <w:szCs w:val="24"/>
        </w:rPr>
      </w:pPr>
    </w:p>
    <w:p w14:paraId="717EE95F" w14:textId="74BA8265" w:rsidR="00FF59D2" w:rsidRPr="008778FE" w:rsidRDefault="00FF59D2" w:rsidP="008778FE">
      <w:pPr>
        <w:spacing w:after="0" w:line="240" w:lineRule="auto"/>
        <w:rPr>
          <w:rFonts w:ascii="Arial" w:hAnsi="Arial" w:cs="Arial"/>
          <w:color w:val="000000"/>
          <w:sz w:val="24"/>
          <w:szCs w:val="24"/>
        </w:rPr>
      </w:pPr>
      <w:r w:rsidRPr="008778FE">
        <w:rPr>
          <w:rFonts w:ascii="Arial" w:hAnsi="Arial" w:cs="Arial"/>
          <w:color w:val="000000"/>
          <w:sz w:val="24"/>
          <w:szCs w:val="24"/>
        </w:rPr>
        <w:t>The delivery of the above activities will need to take into account opportunities to support:</w:t>
      </w:r>
    </w:p>
    <w:p w14:paraId="207A4B07" w14:textId="77777777" w:rsidR="00FF59D2" w:rsidRPr="008778FE" w:rsidRDefault="00FF59D2" w:rsidP="008778FE">
      <w:pPr>
        <w:pStyle w:val="ListParagraph"/>
        <w:numPr>
          <w:ilvl w:val="0"/>
          <w:numId w:val="6"/>
        </w:numPr>
        <w:spacing w:after="0" w:line="240" w:lineRule="auto"/>
        <w:rPr>
          <w:rFonts w:ascii="Arial" w:hAnsi="Arial" w:cs="Arial"/>
          <w:sz w:val="24"/>
          <w:szCs w:val="24"/>
        </w:rPr>
      </w:pPr>
      <w:r w:rsidRPr="008778FE">
        <w:rPr>
          <w:rFonts w:ascii="Arial" w:hAnsi="Arial" w:cs="Arial"/>
          <w:sz w:val="24"/>
          <w:szCs w:val="24"/>
        </w:rPr>
        <w:t xml:space="preserve">Green (social) prescribing; </w:t>
      </w:r>
    </w:p>
    <w:p w14:paraId="0E9CFEA6" w14:textId="77777777" w:rsidR="00FF59D2" w:rsidRPr="008778FE" w:rsidRDefault="00FF59D2" w:rsidP="008778FE">
      <w:pPr>
        <w:pStyle w:val="ListParagraph"/>
        <w:numPr>
          <w:ilvl w:val="0"/>
          <w:numId w:val="6"/>
        </w:numPr>
        <w:spacing w:after="0" w:line="240" w:lineRule="auto"/>
        <w:rPr>
          <w:rFonts w:ascii="Arial" w:hAnsi="Arial" w:cs="Arial"/>
          <w:sz w:val="24"/>
          <w:szCs w:val="24"/>
        </w:rPr>
      </w:pPr>
      <w:r w:rsidRPr="008778FE">
        <w:rPr>
          <w:rFonts w:ascii="Arial" w:hAnsi="Arial" w:cs="Arial"/>
          <w:sz w:val="24"/>
          <w:szCs w:val="24"/>
        </w:rPr>
        <w:t>Nature based solutions;</w:t>
      </w:r>
    </w:p>
    <w:p w14:paraId="37E1D523" w14:textId="77777777" w:rsidR="00FF59D2" w:rsidRPr="008778FE" w:rsidRDefault="00FF59D2" w:rsidP="008778FE">
      <w:pPr>
        <w:pStyle w:val="ListParagraph"/>
        <w:numPr>
          <w:ilvl w:val="0"/>
          <w:numId w:val="6"/>
        </w:numPr>
        <w:spacing w:after="0" w:line="240" w:lineRule="auto"/>
        <w:rPr>
          <w:rFonts w:ascii="Arial" w:hAnsi="Arial" w:cs="Arial"/>
          <w:sz w:val="24"/>
          <w:szCs w:val="24"/>
        </w:rPr>
      </w:pPr>
      <w:r w:rsidRPr="008778FE">
        <w:rPr>
          <w:rFonts w:ascii="Arial" w:hAnsi="Arial" w:cs="Arial"/>
          <w:sz w:val="24"/>
          <w:szCs w:val="24"/>
        </w:rPr>
        <w:t>Clearer links between natural resources and well-being</w:t>
      </w:r>
    </w:p>
    <w:p w14:paraId="6DBA6758" w14:textId="77777777" w:rsidR="00FF59D2" w:rsidRPr="008778FE" w:rsidRDefault="00FF59D2" w:rsidP="008778FE">
      <w:pPr>
        <w:pStyle w:val="ListParagraph"/>
        <w:numPr>
          <w:ilvl w:val="0"/>
          <w:numId w:val="6"/>
        </w:numPr>
        <w:spacing w:after="0" w:line="240" w:lineRule="auto"/>
        <w:rPr>
          <w:rFonts w:ascii="Arial" w:hAnsi="Arial" w:cs="Arial"/>
          <w:sz w:val="24"/>
          <w:szCs w:val="24"/>
        </w:rPr>
      </w:pPr>
      <w:r w:rsidRPr="008778FE">
        <w:rPr>
          <w:rFonts w:ascii="Arial" w:hAnsi="Arial" w:cs="Arial"/>
          <w:sz w:val="24"/>
          <w:szCs w:val="24"/>
        </w:rPr>
        <w:t xml:space="preserve">Volunteering; </w:t>
      </w:r>
    </w:p>
    <w:p w14:paraId="231B8DB0" w14:textId="77777777" w:rsidR="00FF59D2" w:rsidRPr="008778FE" w:rsidRDefault="00FF59D2" w:rsidP="008778FE">
      <w:pPr>
        <w:pStyle w:val="ListParagraph"/>
        <w:numPr>
          <w:ilvl w:val="0"/>
          <w:numId w:val="6"/>
        </w:numPr>
        <w:spacing w:after="0" w:line="240" w:lineRule="auto"/>
        <w:rPr>
          <w:rFonts w:ascii="Arial" w:hAnsi="Arial" w:cs="Arial"/>
          <w:sz w:val="24"/>
          <w:szCs w:val="24"/>
        </w:rPr>
      </w:pPr>
      <w:r w:rsidRPr="008778FE">
        <w:rPr>
          <w:rFonts w:ascii="Arial" w:hAnsi="Arial" w:cs="Arial"/>
          <w:sz w:val="24"/>
          <w:szCs w:val="24"/>
        </w:rPr>
        <w:t>Training and education; and</w:t>
      </w:r>
    </w:p>
    <w:p w14:paraId="73175002" w14:textId="77777777" w:rsidR="00FF59D2" w:rsidRPr="008778FE" w:rsidRDefault="00FF59D2" w:rsidP="008778FE">
      <w:pPr>
        <w:pStyle w:val="ListParagraph"/>
        <w:numPr>
          <w:ilvl w:val="0"/>
          <w:numId w:val="6"/>
        </w:numPr>
        <w:spacing w:after="0" w:line="240" w:lineRule="auto"/>
        <w:rPr>
          <w:rFonts w:ascii="Arial" w:hAnsi="Arial" w:cs="Arial"/>
          <w:sz w:val="24"/>
          <w:szCs w:val="24"/>
        </w:rPr>
      </w:pPr>
      <w:r w:rsidRPr="008778FE">
        <w:rPr>
          <w:rFonts w:ascii="Arial" w:hAnsi="Arial" w:cs="Arial"/>
          <w:sz w:val="24"/>
          <w:szCs w:val="24"/>
        </w:rPr>
        <w:t xml:space="preserve">Behaviour change. </w:t>
      </w:r>
    </w:p>
    <w:p w14:paraId="0E627067" w14:textId="760EC3D5" w:rsidR="00FF59D2" w:rsidRPr="008778FE" w:rsidRDefault="00FF59D2" w:rsidP="008778FE">
      <w:pPr>
        <w:spacing w:after="0" w:line="240" w:lineRule="auto"/>
        <w:rPr>
          <w:rFonts w:ascii="Arial" w:hAnsi="Arial" w:cs="Arial"/>
          <w:sz w:val="24"/>
          <w:szCs w:val="24"/>
        </w:rPr>
      </w:pPr>
    </w:p>
    <w:p w14:paraId="2F7BB505" w14:textId="77777777" w:rsidR="000F49A1" w:rsidRPr="008778FE" w:rsidRDefault="000F49A1" w:rsidP="008778FE">
      <w:pPr>
        <w:spacing w:after="0" w:line="240" w:lineRule="auto"/>
        <w:rPr>
          <w:rFonts w:ascii="Arial" w:hAnsi="Arial" w:cs="Arial"/>
          <w:sz w:val="24"/>
          <w:szCs w:val="24"/>
        </w:rPr>
      </w:pPr>
    </w:p>
    <w:p w14:paraId="00314EA8" w14:textId="77777777" w:rsidR="004846CC" w:rsidRPr="008778FE" w:rsidRDefault="004846CC" w:rsidP="008778FE">
      <w:pPr>
        <w:spacing w:after="0" w:line="240" w:lineRule="auto"/>
        <w:rPr>
          <w:rFonts w:ascii="Arial" w:hAnsi="Arial" w:cs="Arial"/>
          <w:b/>
          <w:i/>
          <w:sz w:val="24"/>
          <w:szCs w:val="24"/>
        </w:rPr>
      </w:pPr>
      <w:r w:rsidRPr="008778FE">
        <w:rPr>
          <w:rFonts w:ascii="Arial" w:hAnsi="Arial" w:cs="Arial"/>
          <w:b/>
          <w:i/>
          <w:sz w:val="24"/>
          <w:szCs w:val="24"/>
        </w:rPr>
        <w:t>What type of projects can be funded?</w:t>
      </w:r>
    </w:p>
    <w:p w14:paraId="7EA32E09" w14:textId="37C4FBCE" w:rsidR="00120016" w:rsidRPr="008778FE" w:rsidRDefault="00B84808" w:rsidP="008778FE">
      <w:pPr>
        <w:pStyle w:val="ListParagraph"/>
        <w:numPr>
          <w:ilvl w:val="0"/>
          <w:numId w:val="10"/>
        </w:numPr>
        <w:spacing w:after="0" w:line="240" w:lineRule="auto"/>
        <w:rPr>
          <w:rFonts w:ascii="Arial" w:hAnsi="Arial" w:cs="Arial"/>
          <w:sz w:val="24"/>
          <w:szCs w:val="24"/>
        </w:rPr>
      </w:pPr>
      <w:bookmarkStart w:id="0" w:name="_Hlk531458894"/>
      <w:r w:rsidRPr="008778FE">
        <w:rPr>
          <w:rFonts w:ascii="Arial" w:eastAsia="Times New Roman" w:hAnsi="Arial" w:cs="Arial"/>
          <w:color w:val="212121"/>
          <w:sz w:val="24"/>
          <w:szCs w:val="24"/>
          <w:lang w:eastAsia="en-GB"/>
        </w:rPr>
        <w:t xml:space="preserve">Green infrastructure projects such as and including; </w:t>
      </w:r>
      <w:r w:rsidRPr="008778FE">
        <w:rPr>
          <w:rFonts w:ascii="Arial" w:hAnsi="Arial" w:cs="Arial"/>
          <w:sz w:val="24"/>
          <w:szCs w:val="24"/>
        </w:rPr>
        <w:t xml:space="preserve">networks of green corridors, parks, green community facilities and venues, fields, nature reserves, public rights of way, local rivers, streams and ponds, allotments and orchards, woodlands, cemeteries and gardens.  Interventions include street trees, hedgerows, roadside verges and corridors linking urban and rural areas, and green roofs, as part of wider planned activity to contribute to green infrastructure networks. </w:t>
      </w:r>
    </w:p>
    <w:p w14:paraId="552A1983" w14:textId="77777777" w:rsidR="00120016" w:rsidRPr="008778FE" w:rsidRDefault="00B84808" w:rsidP="008778FE">
      <w:pPr>
        <w:pStyle w:val="ListParagraph"/>
        <w:widowControl w:val="0"/>
        <w:numPr>
          <w:ilvl w:val="0"/>
          <w:numId w:val="8"/>
        </w:numPr>
        <w:spacing w:after="0" w:line="240" w:lineRule="auto"/>
        <w:rPr>
          <w:rFonts w:ascii="Arial" w:eastAsia="Times New Roman" w:hAnsi="Arial" w:cs="Arial"/>
          <w:i/>
          <w:sz w:val="24"/>
          <w:szCs w:val="24"/>
        </w:rPr>
      </w:pPr>
      <w:r w:rsidRPr="008778FE">
        <w:rPr>
          <w:rFonts w:ascii="Arial" w:eastAsia="Times New Roman" w:hAnsi="Arial" w:cs="Arial"/>
          <w:color w:val="212121"/>
          <w:sz w:val="24"/>
          <w:szCs w:val="24"/>
          <w:lang w:eastAsia="en-GB"/>
        </w:rPr>
        <w:t>Projects that lead to i</w:t>
      </w:r>
      <w:r w:rsidR="00120016" w:rsidRPr="008778FE">
        <w:rPr>
          <w:rFonts w:ascii="Arial" w:eastAsia="Times New Roman" w:hAnsi="Arial" w:cs="Arial"/>
          <w:color w:val="212121"/>
          <w:sz w:val="24"/>
          <w:szCs w:val="24"/>
          <w:lang w:eastAsia="en-GB"/>
        </w:rPr>
        <w:t>mproved opportunities &amp; facilities for outdoor leisure and recreation</w:t>
      </w:r>
      <w:r w:rsidR="00434DAF" w:rsidRPr="008778FE">
        <w:rPr>
          <w:rFonts w:ascii="Arial" w:eastAsia="Times New Roman" w:hAnsi="Arial" w:cs="Arial"/>
          <w:color w:val="212121"/>
          <w:sz w:val="24"/>
          <w:szCs w:val="24"/>
          <w:lang w:eastAsia="en-GB"/>
        </w:rPr>
        <w:t xml:space="preserve">, including </w:t>
      </w:r>
      <w:r w:rsidR="001647DB" w:rsidRPr="008778FE">
        <w:rPr>
          <w:rFonts w:ascii="Arial" w:eastAsia="Times New Roman" w:hAnsi="Arial" w:cs="Arial"/>
          <w:color w:val="212121"/>
          <w:sz w:val="24"/>
          <w:szCs w:val="24"/>
          <w:lang w:eastAsia="en-GB"/>
        </w:rPr>
        <w:t xml:space="preserve">greening of community assets e.g. </w:t>
      </w:r>
      <w:r w:rsidR="00434DAF" w:rsidRPr="008778FE">
        <w:rPr>
          <w:rFonts w:ascii="Arial" w:eastAsia="Times New Roman" w:hAnsi="Arial" w:cs="Arial"/>
          <w:color w:val="212121"/>
          <w:sz w:val="24"/>
          <w:szCs w:val="24"/>
          <w:lang w:eastAsia="en-GB"/>
        </w:rPr>
        <w:t>village halls and allotments</w:t>
      </w:r>
      <w:r w:rsidR="00120016" w:rsidRPr="008778FE">
        <w:rPr>
          <w:rFonts w:ascii="Arial" w:eastAsia="Times New Roman" w:hAnsi="Arial" w:cs="Arial"/>
          <w:color w:val="212121"/>
          <w:sz w:val="24"/>
          <w:szCs w:val="24"/>
          <w:lang w:eastAsia="en-GB"/>
        </w:rPr>
        <w:t xml:space="preserve"> (</w:t>
      </w:r>
      <w:r w:rsidR="001647DB" w:rsidRPr="008778FE">
        <w:rPr>
          <w:rFonts w:ascii="Arial" w:eastAsia="Times New Roman" w:hAnsi="Arial" w:cs="Arial"/>
          <w:color w:val="212121"/>
          <w:sz w:val="24"/>
          <w:szCs w:val="24"/>
          <w:lang w:eastAsia="en-GB"/>
        </w:rPr>
        <w:t>which</w:t>
      </w:r>
      <w:r w:rsidRPr="008778FE">
        <w:rPr>
          <w:rFonts w:ascii="Arial" w:eastAsia="Times New Roman" w:hAnsi="Arial" w:cs="Arial"/>
          <w:color w:val="212121"/>
          <w:sz w:val="24"/>
          <w:szCs w:val="24"/>
          <w:lang w:eastAsia="en-GB"/>
        </w:rPr>
        <w:t xml:space="preserve"> can lead to </w:t>
      </w:r>
      <w:r w:rsidR="00120016" w:rsidRPr="008778FE">
        <w:rPr>
          <w:rFonts w:ascii="Arial" w:eastAsia="Times New Roman" w:hAnsi="Arial" w:cs="Arial"/>
          <w:color w:val="212121"/>
          <w:sz w:val="24"/>
          <w:szCs w:val="24"/>
          <w:lang w:eastAsia="en-GB"/>
        </w:rPr>
        <w:t>increased v</w:t>
      </w:r>
      <w:r w:rsidRPr="008778FE">
        <w:rPr>
          <w:rFonts w:ascii="Arial" w:eastAsia="Times New Roman" w:hAnsi="Arial" w:cs="Arial"/>
          <w:color w:val="212121"/>
          <w:sz w:val="24"/>
          <w:szCs w:val="24"/>
          <w:lang w:eastAsia="en-GB"/>
        </w:rPr>
        <w:t>isitor numbers and well-being)</w:t>
      </w:r>
    </w:p>
    <w:p w14:paraId="4B21A3C3" w14:textId="77777777" w:rsidR="00B84808" w:rsidRPr="008778FE" w:rsidRDefault="00B84808" w:rsidP="008778FE">
      <w:pPr>
        <w:pStyle w:val="ListParagraph"/>
        <w:widowControl w:val="0"/>
        <w:numPr>
          <w:ilvl w:val="0"/>
          <w:numId w:val="8"/>
        </w:numPr>
        <w:spacing w:after="0" w:line="240" w:lineRule="auto"/>
        <w:rPr>
          <w:rFonts w:ascii="Arial" w:eastAsia="Times New Roman" w:hAnsi="Arial" w:cs="Arial"/>
          <w:i/>
          <w:sz w:val="24"/>
          <w:szCs w:val="24"/>
        </w:rPr>
      </w:pPr>
      <w:r w:rsidRPr="008778FE">
        <w:rPr>
          <w:rFonts w:ascii="Arial" w:eastAsia="Times New Roman" w:hAnsi="Arial" w:cs="Arial"/>
          <w:color w:val="212121"/>
          <w:sz w:val="24"/>
          <w:szCs w:val="24"/>
          <w:lang w:eastAsia="en-GB"/>
        </w:rPr>
        <w:t>Projects that lead to i</w:t>
      </w:r>
      <w:r w:rsidR="00120016" w:rsidRPr="008778FE">
        <w:rPr>
          <w:rFonts w:ascii="Arial" w:eastAsia="Times New Roman" w:hAnsi="Arial" w:cs="Arial"/>
          <w:color w:val="212121"/>
          <w:sz w:val="24"/>
          <w:szCs w:val="24"/>
          <w:lang w:eastAsia="en-GB"/>
        </w:rPr>
        <w:t xml:space="preserve">mproved opportunities for social prescribing and learning (including an </w:t>
      </w:r>
      <w:r w:rsidR="00120016" w:rsidRPr="008778FE">
        <w:rPr>
          <w:rFonts w:ascii="Arial" w:eastAsia="Times New Roman" w:hAnsi="Arial" w:cs="Arial"/>
          <w:color w:val="212121"/>
          <w:sz w:val="24"/>
          <w:szCs w:val="24"/>
          <w:lang w:eastAsia="en-GB"/>
        </w:rPr>
        <w:lastRenderedPageBreak/>
        <w:t>increase in volunteering hours and numbers</w:t>
      </w:r>
      <w:r w:rsidR="00434DAF" w:rsidRPr="008778FE">
        <w:rPr>
          <w:rFonts w:ascii="Arial" w:eastAsia="Times New Roman" w:hAnsi="Arial" w:cs="Arial"/>
          <w:color w:val="212121"/>
          <w:sz w:val="24"/>
          <w:szCs w:val="24"/>
          <w:lang w:eastAsia="en-GB"/>
        </w:rPr>
        <w:t>)</w:t>
      </w:r>
    </w:p>
    <w:p w14:paraId="64943C44" w14:textId="77777777" w:rsidR="00120016" w:rsidRPr="008778FE" w:rsidRDefault="00B84808" w:rsidP="008778FE">
      <w:pPr>
        <w:pStyle w:val="ListParagraph"/>
        <w:widowControl w:val="0"/>
        <w:numPr>
          <w:ilvl w:val="0"/>
          <w:numId w:val="8"/>
        </w:numPr>
        <w:spacing w:after="0" w:line="240" w:lineRule="auto"/>
        <w:rPr>
          <w:rFonts w:ascii="Arial" w:eastAsia="Times New Roman" w:hAnsi="Arial" w:cs="Arial"/>
          <w:i/>
          <w:sz w:val="24"/>
          <w:szCs w:val="24"/>
        </w:rPr>
      </w:pPr>
      <w:r w:rsidRPr="008778FE">
        <w:rPr>
          <w:rFonts w:ascii="Arial" w:eastAsia="Times New Roman" w:hAnsi="Arial" w:cs="Arial"/>
          <w:color w:val="212121"/>
          <w:sz w:val="24"/>
          <w:szCs w:val="24"/>
          <w:lang w:eastAsia="en-GB"/>
        </w:rPr>
        <w:t>Projects that lead to an i</w:t>
      </w:r>
      <w:r w:rsidR="00120016" w:rsidRPr="008778FE">
        <w:rPr>
          <w:rFonts w:ascii="Arial" w:eastAsia="Times New Roman" w:hAnsi="Arial" w:cs="Arial"/>
          <w:color w:val="212121"/>
          <w:sz w:val="24"/>
          <w:szCs w:val="24"/>
          <w:lang w:eastAsia="en-GB"/>
        </w:rPr>
        <w:t>ncrease in the use of green space by individuals, communities, schools, youth groups etc</w:t>
      </w:r>
      <w:r w:rsidRPr="008778FE">
        <w:rPr>
          <w:rFonts w:ascii="Arial" w:eastAsia="Times New Roman" w:hAnsi="Arial" w:cs="Arial"/>
          <w:color w:val="212121"/>
          <w:sz w:val="24"/>
          <w:szCs w:val="24"/>
          <w:lang w:eastAsia="en-GB"/>
        </w:rPr>
        <w:t>.</w:t>
      </w:r>
    </w:p>
    <w:p w14:paraId="25D8E109" w14:textId="77777777" w:rsidR="00120016" w:rsidRPr="008778FE" w:rsidRDefault="00B84808" w:rsidP="008778FE">
      <w:pPr>
        <w:pStyle w:val="ListParagraph"/>
        <w:widowControl w:val="0"/>
        <w:numPr>
          <w:ilvl w:val="0"/>
          <w:numId w:val="8"/>
        </w:numPr>
        <w:spacing w:after="0" w:line="240" w:lineRule="auto"/>
        <w:rPr>
          <w:rFonts w:ascii="Arial" w:eastAsia="Times New Roman" w:hAnsi="Arial" w:cs="Arial"/>
          <w:i/>
          <w:sz w:val="24"/>
          <w:szCs w:val="24"/>
        </w:rPr>
      </w:pPr>
      <w:r w:rsidRPr="008778FE">
        <w:rPr>
          <w:rFonts w:ascii="Arial" w:eastAsia="Times New Roman" w:hAnsi="Arial" w:cs="Arial"/>
          <w:color w:val="212121"/>
          <w:sz w:val="24"/>
          <w:szCs w:val="24"/>
          <w:lang w:eastAsia="en-GB"/>
        </w:rPr>
        <w:t>Projects that lead to an i</w:t>
      </w:r>
      <w:r w:rsidR="00120016" w:rsidRPr="008778FE">
        <w:rPr>
          <w:rFonts w:ascii="Arial" w:eastAsia="Times New Roman" w:hAnsi="Arial" w:cs="Arial"/>
          <w:color w:val="212121"/>
          <w:sz w:val="24"/>
          <w:szCs w:val="24"/>
          <w:lang w:eastAsia="en-GB"/>
        </w:rPr>
        <w:t xml:space="preserve">ncrease in locally owned and managed green </w:t>
      </w:r>
      <w:r w:rsidRPr="008778FE">
        <w:rPr>
          <w:rFonts w:ascii="Arial" w:eastAsia="Times New Roman" w:hAnsi="Arial" w:cs="Arial"/>
          <w:color w:val="212121"/>
          <w:sz w:val="24"/>
          <w:szCs w:val="24"/>
          <w:lang w:eastAsia="en-GB"/>
        </w:rPr>
        <w:t>space (and community cohesion)</w:t>
      </w:r>
    </w:p>
    <w:p w14:paraId="0C3DD211" w14:textId="77777777" w:rsidR="00120016" w:rsidRPr="008778FE" w:rsidRDefault="00B84808" w:rsidP="008778FE">
      <w:pPr>
        <w:pStyle w:val="ListParagraph"/>
        <w:widowControl w:val="0"/>
        <w:numPr>
          <w:ilvl w:val="0"/>
          <w:numId w:val="8"/>
        </w:numPr>
        <w:spacing w:after="0" w:line="240" w:lineRule="auto"/>
        <w:rPr>
          <w:rFonts w:ascii="Arial" w:eastAsia="Times New Roman" w:hAnsi="Arial" w:cs="Arial"/>
          <w:i/>
          <w:sz w:val="24"/>
          <w:szCs w:val="24"/>
        </w:rPr>
      </w:pPr>
      <w:r w:rsidRPr="008778FE">
        <w:rPr>
          <w:rFonts w:ascii="Arial" w:eastAsia="Times New Roman" w:hAnsi="Arial" w:cs="Arial"/>
          <w:color w:val="212121"/>
          <w:sz w:val="24"/>
          <w:szCs w:val="24"/>
          <w:lang w:eastAsia="en-GB"/>
        </w:rPr>
        <w:t>Projects that will lead to an</w:t>
      </w:r>
      <w:r w:rsidR="00120016" w:rsidRPr="008778FE">
        <w:rPr>
          <w:rFonts w:ascii="Arial" w:eastAsia="Times New Roman" w:hAnsi="Arial" w:cs="Arial"/>
          <w:color w:val="212121"/>
          <w:sz w:val="24"/>
          <w:szCs w:val="24"/>
          <w:lang w:eastAsia="en-GB"/>
        </w:rPr>
        <w:t xml:space="preserve"> increase in tree coverage, specifically in urban areas (</w:t>
      </w:r>
      <w:r w:rsidRPr="008778FE">
        <w:rPr>
          <w:rFonts w:ascii="Arial" w:eastAsia="Times New Roman" w:hAnsi="Arial" w:cs="Arial"/>
          <w:color w:val="212121"/>
          <w:sz w:val="24"/>
          <w:szCs w:val="24"/>
          <w:lang w:eastAsia="en-GB"/>
        </w:rPr>
        <w:t>the number of trees and the</w:t>
      </w:r>
      <w:r w:rsidR="00120016" w:rsidRPr="008778FE">
        <w:rPr>
          <w:rFonts w:ascii="Arial" w:eastAsia="Times New Roman" w:hAnsi="Arial" w:cs="Arial"/>
          <w:color w:val="212121"/>
          <w:sz w:val="24"/>
          <w:szCs w:val="24"/>
          <w:lang w:eastAsia="en-GB"/>
        </w:rPr>
        <w:t xml:space="preserve"> rig</w:t>
      </w:r>
      <w:r w:rsidRPr="008778FE">
        <w:rPr>
          <w:rFonts w:ascii="Arial" w:eastAsia="Times New Roman" w:hAnsi="Arial" w:cs="Arial"/>
          <w:color w:val="212121"/>
          <w:sz w:val="24"/>
          <w:szCs w:val="24"/>
          <w:lang w:eastAsia="en-GB"/>
        </w:rPr>
        <w:t>ht species in the right places)</w:t>
      </w:r>
      <w:r w:rsidR="00120016" w:rsidRPr="008778FE">
        <w:rPr>
          <w:rFonts w:ascii="Arial" w:eastAsia="Times New Roman" w:hAnsi="Arial" w:cs="Arial"/>
          <w:color w:val="212121"/>
          <w:sz w:val="24"/>
          <w:szCs w:val="24"/>
          <w:lang w:eastAsia="en-GB"/>
        </w:rPr>
        <w:t xml:space="preserve"> </w:t>
      </w:r>
    </w:p>
    <w:p w14:paraId="3AB087B4" w14:textId="77777777" w:rsidR="00120016" w:rsidRPr="008778FE" w:rsidRDefault="00B84808" w:rsidP="008778FE">
      <w:pPr>
        <w:pStyle w:val="ListParagraph"/>
        <w:widowControl w:val="0"/>
        <w:numPr>
          <w:ilvl w:val="0"/>
          <w:numId w:val="8"/>
        </w:numPr>
        <w:spacing w:after="0" w:line="240" w:lineRule="auto"/>
        <w:rPr>
          <w:rFonts w:ascii="Arial" w:eastAsia="Times New Roman" w:hAnsi="Arial" w:cs="Arial"/>
          <w:i/>
          <w:sz w:val="24"/>
          <w:szCs w:val="24"/>
        </w:rPr>
      </w:pPr>
      <w:r w:rsidRPr="008778FE">
        <w:rPr>
          <w:rFonts w:ascii="Arial" w:eastAsia="Times New Roman" w:hAnsi="Arial" w:cs="Arial"/>
          <w:color w:val="212121"/>
          <w:sz w:val="24"/>
          <w:szCs w:val="24"/>
          <w:lang w:eastAsia="en-GB"/>
        </w:rPr>
        <w:t>Projects that can help to reduce</w:t>
      </w:r>
      <w:r w:rsidR="00120016" w:rsidRPr="008778FE">
        <w:rPr>
          <w:rFonts w:ascii="Arial" w:eastAsia="Times New Roman" w:hAnsi="Arial" w:cs="Arial"/>
          <w:color w:val="212121"/>
          <w:sz w:val="24"/>
          <w:szCs w:val="24"/>
          <w:lang w:eastAsia="en-GB"/>
        </w:rPr>
        <w:t xml:space="preserve"> noise</w:t>
      </w:r>
      <w:r w:rsidRPr="008778FE">
        <w:rPr>
          <w:rFonts w:ascii="Arial" w:eastAsia="Times New Roman" w:hAnsi="Arial" w:cs="Arial"/>
          <w:color w:val="212121"/>
          <w:sz w:val="24"/>
          <w:szCs w:val="24"/>
          <w:lang w:eastAsia="en-GB"/>
        </w:rPr>
        <w:t xml:space="preserve"> pollution within communities</w:t>
      </w:r>
      <w:r w:rsidR="00120016" w:rsidRPr="008778FE">
        <w:rPr>
          <w:rFonts w:ascii="Arial" w:eastAsia="Times New Roman" w:hAnsi="Arial" w:cs="Arial"/>
          <w:color w:val="212121"/>
          <w:sz w:val="24"/>
          <w:szCs w:val="24"/>
          <w:lang w:eastAsia="en-GB"/>
        </w:rPr>
        <w:t xml:space="preserve"> (</w:t>
      </w:r>
      <w:r w:rsidRPr="008778FE">
        <w:rPr>
          <w:rFonts w:ascii="Arial" w:eastAsia="Times New Roman" w:hAnsi="Arial" w:cs="Arial"/>
          <w:color w:val="212121"/>
          <w:sz w:val="24"/>
          <w:szCs w:val="24"/>
          <w:lang w:eastAsia="en-GB"/>
        </w:rPr>
        <w:t xml:space="preserve">showing a </w:t>
      </w:r>
      <w:r w:rsidR="00120016" w:rsidRPr="008778FE">
        <w:rPr>
          <w:rFonts w:ascii="Arial" w:eastAsia="Times New Roman" w:hAnsi="Arial" w:cs="Arial"/>
          <w:color w:val="212121"/>
          <w:sz w:val="24"/>
          <w:szCs w:val="24"/>
          <w:lang w:eastAsia="en-GB"/>
        </w:rPr>
        <w:t xml:space="preserve">measurable decibel reduction); </w:t>
      </w:r>
    </w:p>
    <w:bookmarkEnd w:id="0"/>
    <w:p w14:paraId="2152E0B4" w14:textId="77777777" w:rsidR="00120016" w:rsidRPr="008778FE" w:rsidRDefault="00120016" w:rsidP="008778FE">
      <w:pPr>
        <w:spacing w:after="0" w:line="240" w:lineRule="auto"/>
        <w:rPr>
          <w:rFonts w:ascii="Arial" w:hAnsi="Arial" w:cs="Arial"/>
          <w:sz w:val="24"/>
          <w:szCs w:val="24"/>
        </w:rPr>
      </w:pPr>
    </w:p>
    <w:p w14:paraId="31D4BB3C" w14:textId="6BCF1830" w:rsidR="001217E1" w:rsidRPr="00011F20" w:rsidRDefault="001217E1" w:rsidP="008778FE">
      <w:pPr>
        <w:spacing w:after="0" w:line="240" w:lineRule="auto"/>
        <w:rPr>
          <w:rFonts w:ascii="Arial" w:hAnsi="Arial" w:cs="Arial"/>
          <w:b/>
          <w:i/>
          <w:sz w:val="24"/>
          <w:szCs w:val="24"/>
        </w:rPr>
      </w:pPr>
      <w:r w:rsidRPr="00011F20">
        <w:rPr>
          <w:rFonts w:ascii="Arial" w:hAnsi="Arial" w:cs="Arial"/>
          <w:b/>
          <w:i/>
          <w:sz w:val="24"/>
          <w:szCs w:val="24"/>
        </w:rPr>
        <w:t>Examples of Eligible activity / capital expenditure:</w:t>
      </w:r>
    </w:p>
    <w:p w14:paraId="1C4FB923" w14:textId="1D21B977"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Sensory gardens</w:t>
      </w:r>
    </w:p>
    <w:p w14:paraId="083AECB3" w14:textId="79C54AAD"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Bee gardens</w:t>
      </w:r>
    </w:p>
    <w:p w14:paraId="60E7C025" w14:textId="20CED63F"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Community Buildings and community enterprises to undertake projects which contribute to SMNR such as small scale carbon mitigation measures (such as but not limited to insulation, energy reduction),</w:t>
      </w:r>
    </w:p>
    <w:p w14:paraId="1E4E40BB" w14:textId="7A94EC35"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Green spaces to include parks</w:t>
      </w:r>
    </w:p>
    <w:p w14:paraId="571C0B26" w14:textId="39FDEB0E"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 xml:space="preserve">Play areas </w:t>
      </w:r>
    </w:p>
    <w:p w14:paraId="018D77C3" w14:textId="51AF1E6D"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Community gardens</w:t>
      </w:r>
    </w:p>
    <w:p w14:paraId="2354CB18" w14:textId="1941C53F"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Wildlife areas</w:t>
      </w:r>
    </w:p>
    <w:p w14:paraId="3ABB1A92" w14:textId="3E4B514B"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Bio-diversity corridors and hedges linked to community spaces</w:t>
      </w:r>
    </w:p>
    <w:p w14:paraId="2DC9C143" w14:textId="0B38CD1E"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Green Travel – to provide active travel infrastructure such as bicycle networks to include electric charging points for bikes, way marking upgrading walking routes in town centres or circular routes from villages</w:t>
      </w:r>
    </w:p>
    <w:p w14:paraId="18E3052C" w14:textId="584A19B9"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Community Miles – developing and enhancing community miles, linking in communities together.</w:t>
      </w:r>
    </w:p>
    <w:p w14:paraId="74FAA5B1" w14:textId="1793B713" w:rsidR="001217E1" w:rsidRPr="008778FE" w:rsidRDefault="001217E1" w:rsidP="008778FE">
      <w:pPr>
        <w:spacing w:after="0" w:line="240" w:lineRule="auto"/>
        <w:rPr>
          <w:rFonts w:ascii="Arial" w:hAnsi="Arial" w:cs="Arial"/>
          <w:color w:val="000000"/>
          <w:sz w:val="24"/>
          <w:szCs w:val="24"/>
        </w:rPr>
      </w:pPr>
      <w:r w:rsidRPr="008778FE">
        <w:rPr>
          <w:rFonts w:ascii="Arial" w:hAnsi="Arial" w:cs="Arial"/>
          <w:color w:val="000000"/>
          <w:sz w:val="24"/>
          <w:szCs w:val="24"/>
        </w:rPr>
        <w:t>Routes accessible to all – enabling accessible routes</w:t>
      </w:r>
    </w:p>
    <w:p w14:paraId="74D9E923" w14:textId="77777777" w:rsidR="001217E1" w:rsidRPr="008778FE" w:rsidRDefault="001217E1" w:rsidP="008778FE">
      <w:pPr>
        <w:spacing w:after="0" w:line="240" w:lineRule="auto"/>
        <w:rPr>
          <w:rFonts w:ascii="Arial" w:hAnsi="Arial" w:cs="Arial"/>
          <w:b/>
          <w:iCs/>
          <w:sz w:val="24"/>
          <w:szCs w:val="24"/>
        </w:rPr>
      </w:pPr>
    </w:p>
    <w:p w14:paraId="78291659" w14:textId="5B4B3B35" w:rsidR="00F8289F" w:rsidRPr="008778FE" w:rsidRDefault="00F8289F" w:rsidP="008778FE">
      <w:pPr>
        <w:spacing w:after="0" w:line="240" w:lineRule="auto"/>
        <w:rPr>
          <w:rFonts w:ascii="Arial" w:hAnsi="Arial" w:cs="Arial"/>
          <w:b/>
          <w:iCs/>
          <w:sz w:val="24"/>
          <w:szCs w:val="24"/>
        </w:rPr>
      </w:pPr>
    </w:p>
    <w:p w14:paraId="702B493A" w14:textId="15A67559" w:rsidR="00F8289F" w:rsidRPr="00011F20" w:rsidRDefault="000F49A1" w:rsidP="008778FE">
      <w:pPr>
        <w:spacing w:after="0" w:line="240" w:lineRule="auto"/>
        <w:rPr>
          <w:rFonts w:ascii="Arial" w:hAnsi="Arial" w:cs="Arial"/>
          <w:b/>
          <w:bCs/>
          <w:i/>
          <w:sz w:val="24"/>
          <w:szCs w:val="24"/>
          <w:lang w:val="en-US" w:eastAsia="en-GB"/>
        </w:rPr>
      </w:pPr>
      <w:r w:rsidRPr="00011F20">
        <w:rPr>
          <w:rFonts w:ascii="Arial" w:hAnsi="Arial" w:cs="Arial"/>
          <w:b/>
          <w:bCs/>
          <w:i/>
          <w:sz w:val="24"/>
          <w:szCs w:val="24"/>
          <w:lang w:val="en-US" w:eastAsia="en-GB"/>
        </w:rPr>
        <w:t>Ineligible items</w:t>
      </w:r>
    </w:p>
    <w:p w14:paraId="4870389F" w14:textId="1E77574B" w:rsidR="00E908C2" w:rsidRPr="008778FE" w:rsidRDefault="00E908C2" w:rsidP="008778FE">
      <w:pPr>
        <w:spacing w:after="0" w:line="240" w:lineRule="auto"/>
        <w:rPr>
          <w:rFonts w:ascii="Arial" w:hAnsi="Arial" w:cs="Arial"/>
          <w:color w:val="000000"/>
          <w:sz w:val="24"/>
          <w:szCs w:val="24"/>
        </w:rPr>
      </w:pPr>
      <w:r w:rsidRPr="008778FE">
        <w:rPr>
          <w:rFonts w:ascii="Arial" w:hAnsi="Arial" w:cs="Arial"/>
          <w:color w:val="000000"/>
          <w:sz w:val="24"/>
          <w:szCs w:val="24"/>
        </w:rPr>
        <w:t xml:space="preserve">The following items or types of expenditure are </w:t>
      </w:r>
      <w:r w:rsidRPr="008778FE">
        <w:rPr>
          <w:rFonts w:ascii="Arial" w:hAnsi="Arial" w:cs="Arial"/>
          <w:b/>
          <w:bCs/>
          <w:color w:val="000000"/>
          <w:sz w:val="24"/>
          <w:szCs w:val="24"/>
        </w:rPr>
        <w:t xml:space="preserve">not eligible </w:t>
      </w:r>
      <w:r w:rsidRPr="008778FE">
        <w:rPr>
          <w:rFonts w:ascii="Arial" w:hAnsi="Arial" w:cs="Arial"/>
          <w:bCs/>
          <w:color w:val="000000"/>
          <w:sz w:val="24"/>
          <w:szCs w:val="24"/>
        </w:rPr>
        <w:t>under th</w:t>
      </w:r>
      <w:r w:rsidR="000F49A1" w:rsidRPr="008778FE">
        <w:rPr>
          <w:rFonts w:ascii="Arial" w:hAnsi="Arial" w:cs="Arial"/>
          <w:bCs/>
          <w:color w:val="000000"/>
          <w:sz w:val="24"/>
          <w:szCs w:val="24"/>
        </w:rPr>
        <w:t>e Green Communities Project:</w:t>
      </w:r>
    </w:p>
    <w:p w14:paraId="1438F545"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the purchase of trading stock;</w:t>
      </w:r>
    </w:p>
    <w:p w14:paraId="682612CF"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the purchase of land;</w:t>
      </w:r>
    </w:p>
    <w:p w14:paraId="17AC78A0"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the purchase of buildings;</w:t>
      </w:r>
    </w:p>
    <w:p w14:paraId="4E9C5B68"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 xml:space="preserve">the purchase of cars, vans, motorcycles, bicycles and any other form of </w:t>
      </w:r>
      <w:r w:rsidRPr="008778FE">
        <w:rPr>
          <w:rFonts w:ascii="Arial" w:hAnsi="Arial" w:cs="Arial"/>
          <w:sz w:val="24"/>
          <w:szCs w:val="24"/>
          <w:u w:val="single"/>
        </w:rPr>
        <w:t>personal transport</w:t>
      </w:r>
      <w:r w:rsidRPr="008778FE">
        <w:rPr>
          <w:rFonts w:ascii="Arial" w:hAnsi="Arial" w:cs="Arial"/>
          <w:sz w:val="24"/>
          <w:szCs w:val="24"/>
        </w:rPr>
        <w:t xml:space="preserve"> (for whatever purpose);</w:t>
      </w:r>
    </w:p>
    <w:p w14:paraId="5F6B70FB"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 xml:space="preserve">the purchase of vehicles for external transportation (such as lorries, buses, </w:t>
      </w:r>
    </w:p>
    <w:p w14:paraId="37DA42F9"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vans, minibuses or any other kind of vehicle used to transport goods or people);</w:t>
      </w:r>
    </w:p>
    <w:p w14:paraId="4B48129D"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any physical site work or other expenditure incurred before the project start date without prior written approval from the grantor</w:t>
      </w:r>
      <w:r w:rsidRPr="008778FE">
        <w:rPr>
          <w:rFonts w:ascii="Arial" w:hAnsi="Arial" w:cs="Arial"/>
          <w:b/>
          <w:sz w:val="24"/>
          <w:szCs w:val="24"/>
        </w:rPr>
        <w:t>;</w:t>
      </w:r>
    </w:p>
    <w:p w14:paraId="26FEE7CE"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 xml:space="preserve">temporary works not </w:t>
      </w:r>
      <w:r w:rsidRPr="008778FE">
        <w:rPr>
          <w:rFonts w:ascii="Arial" w:hAnsi="Arial" w:cs="Arial"/>
          <w:b/>
          <w:bCs/>
          <w:sz w:val="24"/>
          <w:szCs w:val="24"/>
        </w:rPr>
        <w:t>directly</w:t>
      </w:r>
      <w:r w:rsidRPr="008778FE">
        <w:rPr>
          <w:rFonts w:ascii="Arial" w:hAnsi="Arial" w:cs="Arial"/>
          <w:sz w:val="24"/>
          <w:szCs w:val="24"/>
        </w:rPr>
        <w:t xml:space="preserve"> related to the execution of the project;</w:t>
      </w:r>
    </w:p>
    <w:p w14:paraId="1C0F8A5A"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maintenance costs for existing buildings, plant or equipment;</w:t>
      </w:r>
    </w:p>
    <w:p w14:paraId="1B3B613C"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like for like replacement;</w:t>
      </w:r>
    </w:p>
    <w:p w14:paraId="500DF9A9"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costs connected with a leasing contract such as the lessor’s margin, interest financing costs, overheads and insurance charges;</w:t>
      </w:r>
    </w:p>
    <w:p w14:paraId="432FB172"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costs of arranging loans, VAT and other taxes recoverable by the beneficiary, administrative and staff costs or compensation paid to third parties for expropriation, etc.;</w:t>
      </w:r>
    </w:p>
    <w:p w14:paraId="17B72F38"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overheads allocated or apportioned at rates materially in excess of rates for similar costs incurred by other comparable delivery mechanisms;</w:t>
      </w:r>
    </w:p>
    <w:p w14:paraId="699B31C9"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notional expenditure;</w:t>
      </w:r>
    </w:p>
    <w:p w14:paraId="01D1DFF0"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payments for activity of a political nature;</w:t>
      </w:r>
    </w:p>
    <w:p w14:paraId="6B88AD96"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depreciation, amortisation and impairment of assets purchased with the help of a European grant;</w:t>
      </w:r>
    </w:p>
    <w:p w14:paraId="7578448F"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provisions;</w:t>
      </w:r>
    </w:p>
    <w:p w14:paraId="21EB1677"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lastRenderedPageBreak/>
        <w:t>contingent liabilities;</w:t>
      </w:r>
    </w:p>
    <w:p w14:paraId="52C99817"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contingencies;</w:t>
      </w:r>
    </w:p>
    <w:p w14:paraId="1ADC816D"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dividends to shareholders;</w:t>
      </w:r>
    </w:p>
    <w:p w14:paraId="185DE8A0"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interest charges (unless under an approved State Aid scheme);</w:t>
      </w:r>
    </w:p>
    <w:p w14:paraId="65B1F42D"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service charges arising on finance leases, hire purchase and credit arrangements;</w:t>
      </w:r>
    </w:p>
    <w:p w14:paraId="76F14912"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costs resulting from the deferral of payments to creditors;</w:t>
      </w:r>
    </w:p>
    <w:p w14:paraId="218D38DE"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costs involved in winding up a commercial company;</w:t>
      </w:r>
    </w:p>
    <w:p w14:paraId="41CB63E8"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payments for unfunded pensions;</w:t>
      </w:r>
    </w:p>
    <w:p w14:paraId="32C48B28"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compensation for loss of office;</w:t>
      </w:r>
    </w:p>
    <w:p w14:paraId="391B4922"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bad debts arising from loans to employees, proprietors, partners directors, guarantors, shareholders or a person connected with any of these;</w:t>
      </w:r>
    </w:p>
    <w:p w14:paraId="66D181C1"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payments for gifts and donations;</w:t>
      </w:r>
    </w:p>
    <w:p w14:paraId="0E6BB23E"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personal entertainments (including alcohol);</w:t>
      </w:r>
    </w:p>
    <w:p w14:paraId="54A1A1EE"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statutory fines and penalties;</w:t>
      </w:r>
    </w:p>
    <w:p w14:paraId="57CE0425"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criminal fines and damages;</w:t>
      </w:r>
    </w:p>
    <w:p w14:paraId="1581F3BC" w14:textId="77777777" w:rsidR="00E908C2" w:rsidRPr="008778FE" w:rsidRDefault="00E908C2" w:rsidP="008778FE">
      <w:pPr>
        <w:pStyle w:val="ListParagraph"/>
        <w:numPr>
          <w:ilvl w:val="0"/>
          <w:numId w:val="11"/>
        </w:numPr>
        <w:tabs>
          <w:tab w:val="left" w:pos="1170"/>
        </w:tabs>
        <w:spacing w:before="60" w:after="0" w:line="240" w:lineRule="auto"/>
        <w:rPr>
          <w:rFonts w:ascii="Arial" w:hAnsi="Arial" w:cs="Arial"/>
          <w:sz w:val="24"/>
          <w:szCs w:val="24"/>
        </w:rPr>
      </w:pPr>
      <w:r w:rsidRPr="008778FE">
        <w:rPr>
          <w:rFonts w:ascii="Arial" w:hAnsi="Arial" w:cs="Arial"/>
          <w:sz w:val="24"/>
          <w:szCs w:val="24"/>
        </w:rPr>
        <w:t>legal expenses in respect of litigation;</w:t>
      </w:r>
    </w:p>
    <w:p w14:paraId="3570232D" w14:textId="77777777" w:rsidR="00E908C2" w:rsidRPr="008778FE" w:rsidRDefault="00E908C2" w:rsidP="008778FE">
      <w:pPr>
        <w:pStyle w:val="ListParagraph"/>
        <w:numPr>
          <w:ilvl w:val="0"/>
          <w:numId w:val="11"/>
        </w:numPr>
        <w:tabs>
          <w:tab w:val="left" w:pos="1170"/>
        </w:tabs>
        <w:spacing w:after="0" w:line="240" w:lineRule="auto"/>
        <w:rPr>
          <w:rFonts w:ascii="Arial" w:hAnsi="Arial" w:cs="Arial"/>
          <w:sz w:val="24"/>
          <w:szCs w:val="24"/>
        </w:rPr>
      </w:pPr>
      <w:r w:rsidRPr="008778FE">
        <w:rPr>
          <w:rFonts w:ascii="Arial" w:hAnsi="Arial" w:cs="Arial"/>
          <w:sz w:val="24"/>
          <w:szCs w:val="24"/>
        </w:rPr>
        <w:t>reclaimable VAT</w:t>
      </w:r>
    </w:p>
    <w:p w14:paraId="2A0251D0" w14:textId="77777777" w:rsidR="00E908C2" w:rsidRPr="008778FE" w:rsidRDefault="00E908C2" w:rsidP="008778FE">
      <w:pPr>
        <w:pStyle w:val="ListParagraph"/>
        <w:numPr>
          <w:ilvl w:val="0"/>
          <w:numId w:val="11"/>
        </w:numPr>
        <w:tabs>
          <w:tab w:val="left" w:pos="1170"/>
        </w:tabs>
        <w:spacing w:after="0" w:line="240" w:lineRule="auto"/>
        <w:rPr>
          <w:rFonts w:ascii="Arial" w:hAnsi="Arial" w:cs="Arial"/>
          <w:sz w:val="24"/>
          <w:szCs w:val="24"/>
        </w:rPr>
      </w:pPr>
      <w:r w:rsidRPr="008778FE">
        <w:rPr>
          <w:rFonts w:ascii="Arial" w:hAnsi="Arial" w:cs="Arial"/>
          <w:sz w:val="24"/>
          <w:szCs w:val="24"/>
        </w:rPr>
        <w:t>Officer costs for third-party organisations</w:t>
      </w:r>
      <w:r w:rsidRPr="008778FE">
        <w:rPr>
          <w:rFonts w:ascii="Arial" w:hAnsi="Arial" w:cs="Arial"/>
          <w:sz w:val="24"/>
          <w:szCs w:val="24"/>
        </w:rPr>
        <w:br/>
      </w:r>
    </w:p>
    <w:p w14:paraId="36095195" w14:textId="0F6F0FE3" w:rsidR="00120016" w:rsidRPr="008778FE" w:rsidRDefault="00E908C2" w:rsidP="008778FE">
      <w:pPr>
        <w:spacing w:after="0" w:line="240" w:lineRule="auto"/>
        <w:rPr>
          <w:rFonts w:ascii="Arial" w:hAnsi="Arial" w:cs="Arial"/>
          <w:sz w:val="24"/>
          <w:szCs w:val="24"/>
        </w:rPr>
      </w:pPr>
      <w:r w:rsidRPr="008778FE">
        <w:rPr>
          <w:rFonts w:ascii="Arial" w:hAnsi="Arial" w:cs="Arial"/>
          <w:sz w:val="24"/>
          <w:szCs w:val="24"/>
        </w:rPr>
        <w:t xml:space="preserve">Advice must be sought from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w:t>
      </w:r>
      <w:r w:rsidR="000F49A1" w:rsidRPr="008778FE">
        <w:rPr>
          <w:rFonts w:ascii="Arial" w:hAnsi="Arial" w:cs="Arial"/>
          <w:sz w:val="24"/>
          <w:szCs w:val="24"/>
        </w:rPr>
        <w:t xml:space="preserve"> / Green Communities</w:t>
      </w:r>
      <w:r w:rsidRPr="008778FE">
        <w:rPr>
          <w:rFonts w:ascii="Arial" w:hAnsi="Arial" w:cs="Arial"/>
          <w:sz w:val="24"/>
          <w:szCs w:val="24"/>
        </w:rPr>
        <w:t xml:space="preserve"> project officers if there is uncertainty.  </w:t>
      </w:r>
    </w:p>
    <w:p w14:paraId="1E8BA3BD" w14:textId="77777777" w:rsidR="00E908C2" w:rsidRPr="008778FE" w:rsidRDefault="00E908C2" w:rsidP="008778FE">
      <w:pPr>
        <w:spacing w:after="0" w:line="240" w:lineRule="auto"/>
        <w:rPr>
          <w:rFonts w:ascii="Arial" w:hAnsi="Arial" w:cs="Arial"/>
          <w:sz w:val="24"/>
          <w:szCs w:val="24"/>
        </w:rPr>
      </w:pPr>
    </w:p>
    <w:p w14:paraId="6E153EA2" w14:textId="3142C74C" w:rsidR="004846CC" w:rsidRPr="008778FE" w:rsidRDefault="00E908C2" w:rsidP="008778FE">
      <w:pPr>
        <w:spacing w:after="0" w:line="240" w:lineRule="auto"/>
        <w:rPr>
          <w:rFonts w:ascii="Arial" w:hAnsi="Arial" w:cs="Arial"/>
          <w:b/>
          <w:i/>
          <w:sz w:val="24"/>
          <w:szCs w:val="24"/>
        </w:rPr>
      </w:pPr>
      <w:r w:rsidRPr="008778FE">
        <w:rPr>
          <w:rFonts w:ascii="Arial" w:hAnsi="Arial" w:cs="Arial"/>
          <w:b/>
          <w:i/>
          <w:sz w:val="24"/>
          <w:szCs w:val="24"/>
        </w:rPr>
        <w:t>Eligible Areas</w:t>
      </w:r>
    </w:p>
    <w:p w14:paraId="69E47809" w14:textId="66E14B90" w:rsidR="00F8289F" w:rsidRDefault="00F8289F" w:rsidP="008778FE">
      <w:pPr>
        <w:spacing w:after="0" w:line="240" w:lineRule="auto"/>
        <w:rPr>
          <w:rFonts w:ascii="Arial" w:hAnsi="Arial" w:cs="Arial"/>
          <w:bCs/>
          <w:i/>
          <w:sz w:val="24"/>
          <w:szCs w:val="24"/>
        </w:rPr>
      </w:pPr>
      <w:r w:rsidRPr="008778FE">
        <w:rPr>
          <w:rFonts w:ascii="Arial" w:hAnsi="Arial" w:cs="Arial"/>
          <w:bCs/>
          <w:i/>
          <w:sz w:val="24"/>
          <w:szCs w:val="24"/>
        </w:rPr>
        <w:t>Rural areas of Denbighshire, Flintshire, Wrexham and Conw</w:t>
      </w:r>
      <w:r w:rsidR="006F6136">
        <w:rPr>
          <w:rFonts w:ascii="Arial" w:hAnsi="Arial" w:cs="Arial"/>
          <w:bCs/>
          <w:i/>
          <w:sz w:val="24"/>
          <w:szCs w:val="24"/>
        </w:rPr>
        <w:t>y.</w:t>
      </w:r>
    </w:p>
    <w:p w14:paraId="4916D9C8" w14:textId="77777777" w:rsidR="00011F20" w:rsidRPr="008778FE" w:rsidRDefault="00011F20" w:rsidP="008778FE">
      <w:pPr>
        <w:spacing w:after="0" w:line="240" w:lineRule="auto"/>
        <w:rPr>
          <w:rFonts w:ascii="Arial" w:hAnsi="Arial" w:cs="Arial"/>
          <w:bCs/>
          <w:i/>
          <w:sz w:val="24"/>
          <w:szCs w:val="24"/>
        </w:rPr>
      </w:pPr>
    </w:p>
    <w:p w14:paraId="356A155C" w14:textId="77777777" w:rsidR="004846CC" w:rsidRPr="008778FE" w:rsidRDefault="001647DB" w:rsidP="008778FE">
      <w:pPr>
        <w:spacing w:after="0" w:line="240" w:lineRule="auto"/>
        <w:rPr>
          <w:rFonts w:ascii="Arial" w:hAnsi="Arial" w:cs="Arial"/>
          <w:b/>
          <w:i/>
          <w:sz w:val="24"/>
          <w:szCs w:val="24"/>
        </w:rPr>
      </w:pPr>
      <w:r w:rsidRPr="008778FE">
        <w:rPr>
          <w:rFonts w:ascii="Arial" w:hAnsi="Arial" w:cs="Arial"/>
          <w:b/>
          <w:i/>
          <w:sz w:val="24"/>
          <w:szCs w:val="24"/>
        </w:rPr>
        <w:t>Funding</w:t>
      </w:r>
      <w:r w:rsidR="004846CC" w:rsidRPr="008778FE">
        <w:rPr>
          <w:rFonts w:ascii="Arial" w:hAnsi="Arial" w:cs="Arial"/>
          <w:b/>
          <w:i/>
          <w:sz w:val="24"/>
          <w:szCs w:val="24"/>
        </w:rPr>
        <w:t xml:space="preserve"> t</w:t>
      </w:r>
      <w:r w:rsidRPr="008778FE">
        <w:rPr>
          <w:rFonts w:ascii="Arial" w:hAnsi="Arial" w:cs="Arial"/>
          <w:b/>
          <w:i/>
          <w:sz w:val="24"/>
          <w:szCs w:val="24"/>
        </w:rPr>
        <w:t>hreshold</w:t>
      </w:r>
    </w:p>
    <w:p w14:paraId="41C24144" w14:textId="2DFC0F8D" w:rsidR="001647DB" w:rsidRPr="008778FE" w:rsidRDefault="001647DB" w:rsidP="008778FE">
      <w:pPr>
        <w:spacing w:after="0" w:line="240" w:lineRule="auto"/>
        <w:rPr>
          <w:rFonts w:ascii="Arial" w:hAnsi="Arial" w:cs="Arial"/>
          <w:sz w:val="24"/>
          <w:szCs w:val="24"/>
        </w:rPr>
      </w:pPr>
      <w:r w:rsidRPr="008778FE">
        <w:rPr>
          <w:rFonts w:ascii="Arial" w:hAnsi="Arial" w:cs="Arial"/>
          <w:sz w:val="24"/>
          <w:szCs w:val="24"/>
        </w:rPr>
        <w:t>The Green Communities Fund will provide funding up to the value of £30,000 per</w:t>
      </w:r>
      <w:r w:rsidR="00F111F6" w:rsidRPr="008778FE">
        <w:rPr>
          <w:rFonts w:ascii="Arial" w:hAnsi="Arial" w:cs="Arial"/>
          <w:sz w:val="24"/>
          <w:szCs w:val="24"/>
        </w:rPr>
        <w:t xml:space="preserve"> community </w:t>
      </w:r>
      <w:r w:rsidRPr="008778FE">
        <w:rPr>
          <w:rFonts w:ascii="Arial" w:hAnsi="Arial" w:cs="Arial"/>
          <w:sz w:val="24"/>
          <w:szCs w:val="24"/>
        </w:rPr>
        <w:t>application</w:t>
      </w:r>
      <w:r w:rsidR="00F111F6" w:rsidRPr="008778FE">
        <w:rPr>
          <w:rFonts w:ascii="Arial" w:hAnsi="Arial" w:cs="Arial"/>
          <w:sz w:val="24"/>
          <w:szCs w:val="24"/>
        </w:rPr>
        <w:t>.</w:t>
      </w:r>
      <w:r w:rsidR="000F49A1" w:rsidRPr="008778FE">
        <w:rPr>
          <w:rFonts w:ascii="Arial" w:hAnsi="Arial" w:cs="Arial"/>
          <w:sz w:val="24"/>
          <w:szCs w:val="24"/>
        </w:rPr>
        <w:t xml:space="preserve">  There is a match-funding requirement of 14.4% to participate in</w:t>
      </w:r>
      <w:r w:rsidR="00385B9E">
        <w:rPr>
          <w:rFonts w:ascii="Arial" w:hAnsi="Arial" w:cs="Arial"/>
          <w:sz w:val="24"/>
          <w:szCs w:val="24"/>
        </w:rPr>
        <w:t xml:space="preserve"> </w:t>
      </w:r>
      <w:r w:rsidR="000F49A1" w:rsidRPr="008778FE">
        <w:rPr>
          <w:rFonts w:ascii="Arial" w:hAnsi="Arial" w:cs="Arial"/>
          <w:sz w:val="24"/>
          <w:szCs w:val="24"/>
        </w:rPr>
        <w:t>th</w:t>
      </w:r>
      <w:r w:rsidR="00385B9E">
        <w:rPr>
          <w:rFonts w:ascii="Arial" w:hAnsi="Arial" w:cs="Arial"/>
          <w:sz w:val="24"/>
          <w:szCs w:val="24"/>
        </w:rPr>
        <w:t>e</w:t>
      </w:r>
      <w:r w:rsidR="000F49A1" w:rsidRPr="008778FE">
        <w:rPr>
          <w:rFonts w:ascii="Arial" w:hAnsi="Arial" w:cs="Arial"/>
          <w:sz w:val="24"/>
          <w:szCs w:val="24"/>
        </w:rPr>
        <w:t xml:space="preserve"> project, however the Green Communities Project officers will provide hands on support to assist communities to identify and secure match.</w:t>
      </w:r>
    </w:p>
    <w:p w14:paraId="544E952F" w14:textId="77777777" w:rsidR="00BB1BAC" w:rsidRPr="008778FE" w:rsidRDefault="00BB1BAC" w:rsidP="008778FE">
      <w:pPr>
        <w:spacing w:after="0" w:line="240" w:lineRule="auto"/>
        <w:rPr>
          <w:rFonts w:ascii="Arial" w:hAnsi="Arial" w:cs="Arial"/>
          <w:sz w:val="24"/>
          <w:szCs w:val="24"/>
        </w:rPr>
      </w:pPr>
    </w:p>
    <w:p w14:paraId="65BE10DA" w14:textId="77777777" w:rsidR="004846CC" w:rsidRPr="008778FE" w:rsidRDefault="004846CC" w:rsidP="008778FE">
      <w:pPr>
        <w:spacing w:after="0" w:line="240" w:lineRule="auto"/>
        <w:rPr>
          <w:rFonts w:ascii="Arial" w:hAnsi="Arial" w:cs="Arial"/>
          <w:b/>
          <w:i/>
          <w:sz w:val="24"/>
          <w:szCs w:val="24"/>
        </w:rPr>
      </w:pPr>
      <w:r w:rsidRPr="008778FE">
        <w:rPr>
          <w:rFonts w:ascii="Arial" w:hAnsi="Arial" w:cs="Arial"/>
          <w:b/>
          <w:i/>
          <w:sz w:val="24"/>
          <w:szCs w:val="24"/>
        </w:rPr>
        <w:t>Who can apply?</w:t>
      </w:r>
    </w:p>
    <w:p w14:paraId="479960CC" w14:textId="77777777" w:rsidR="004846CC" w:rsidRPr="008778FE" w:rsidRDefault="004846CC" w:rsidP="008778FE">
      <w:pPr>
        <w:pStyle w:val="NoSpacing"/>
        <w:rPr>
          <w:rFonts w:ascii="Arial" w:hAnsi="Arial" w:cs="Arial"/>
          <w:sz w:val="24"/>
          <w:szCs w:val="24"/>
        </w:rPr>
      </w:pPr>
      <w:r w:rsidRPr="008778FE">
        <w:rPr>
          <w:rFonts w:ascii="Arial" w:hAnsi="Arial" w:cs="Arial"/>
          <w:sz w:val="24"/>
          <w:szCs w:val="24"/>
        </w:rPr>
        <w:t>The following types of organisations may appl</w:t>
      </w:r>
      <w:r w:rsidR="00F111F6" w:rsidRPr="008778FE">
        <w:rPr>
          <w:rFonts w:ascii="Arial" w:hAnsi="Arial" w:cs="Arial"/>
          <w:sz w:val="24"/>
          <w:szCs w:val="24"/>
        </w:rPr>
        <w:t xml:space="preserve">y for funds on behalf of </w:t>
      </w:r>
      <w:r w:rsidR="00E61A8A" w:rsidRPr="008778FE">
        <w:rPr>
          <w:rFonts w:ascii="Arial" w:hAnsi="Arial" w:cs="Arial"/>
          <w:sz w:val="24"/>
          <w:szCs w:val="24"/>
        </w:rPr>
        <w:t>the community where the project is located</w:t>
      </w:r>
      <w:r w:rsidRPr="008778FE">
        <w:rPr>
          <w:rFonts w:ascii="Arial" w:hAnsi="Arial" w:cs="Arial"/>
          <w:sz w:val="24"/>
          <w:szCs w:val="24"/>
        </w:rPr>
        <w:t xml:space="preserve">:  </w:t>
      </w:r>
    </w:p>
    <w:p w14:paraId="622357A3" w14:textId="77777777" w:rsidR="004846CC" w:rsidRPr="008778FE" w:rsidRDefault="004846CC" w:rsidP="008778FE">
      <w:pPr>
        <w:pStyle w:val="ListParagraph"/>
        <w:numPr>
          <w:ilvl w:val="0"/>
          <w:numId w:val="3"/>
        </w:numPr>
        <w:spacing w:after="0" w:line="240" w:lineRule="auto"/>
        <w:rPr>
          <w:rFonts w:ascii="Arial" w:hAnsi="Arial" w:cs="Arial"/>
          <w:sz w:val="24"/>
          <w:szCs w:val="24"/>
        </w:rPr>
      </w:pPr>
      <w:r w:rsidRPr="008778FE">
        <w:rPr>
          <w:rFonts w:ascii="Arial" w:eastAsia="Arial" w:hAnsi="Arial" w:cs="Arial"/>
          <w:sz w:val="24"/>
          <w:szCs w:val="24"/>
        </w:rPr>
        <w:t xml:space="preserve">Voluntary, community groups </w:t>
      </w:r>
    </w:p>
    <w:p w14:paraId="00E5E6C7" w14:textId="650C9720" w:rsidR="004846CC" w:rsidRPr="008778FE" w:rsidRDefault="004846CC" w:rsidP="008778FE">
      <w:pPr>
        <w:pStyle w:val="ListParagraph"/>
        <w:numPr>
          <w:ilvl w:val="0"/>
          <w:numId w:val="2"/>
        </w:numPr>
        <w:spacing w:after="0" w:line="240" w:lineRule="auto"/>
        <w:rPr>
          <w:rFonts w:ascii="Arial" w:hAnsi="Arial" w:cs="Arial"/>
          <w:sz w:val="24"/>
          <w:szCs w:val="24"/>
        </w:rPr>
      </w:pPr>
      <w:r w:rsidRPr="008778FE">
        <w:rPr>
          <w:rFonts w:ascii="Arial" w:eastAsia="Arial" w:hAnsi="Arial" w:cs="Arial"/>
          <w:sz w:val="24"/>
          <w:szCs w:val="24"/>
        </w:rPr>
        <w:t xml:space="preserve">Community Councils / Town Councils </w:t>
      </w:r>
      <w:r w:rsidR="00F8289F" w:rsidRPr="008778FE">
        <w:rPr>
          <w:rFonts w:ascii="Arial" w:eastAsia="Arial" w:hAnsi="Arial" w:cs="Arial"/>
          <w:sz w:val="24"/>
          <w:szCs w:val="24"/>
        </w:rPr>
        <w:t>/ Local Authorities</w:t>
      </w:r>
    </w:p>
    <w:p w14:paraId="0ED31C9D" w14:textId="77777777" w:rsidR="004846CC" w:rsidRPr="008778FE" w:rsidRDefault="004846CC" w:rsidP="008778FE">
      <w:pPr>
        <w:pStyle w:val="ListParagraph"/>
        <w:numPr>
          <w:ilvl w:val="0"/>
          <w:numId w:val="2"/>
        </w:numPr>
        <w:spacing w:after="0" w:line="240" w:lineRule="auto"/>
        <w:rPr>
          <w:rFonts w:ascii="Arial" w:hAnsi="Arial" w:cs="Arial"/>
          <w:sz w:val="24"/>
          <w:szCs w:val="24"/>
        </w:rPr>
      </w:pPr>
      <w:r w:rsidRPr="008778FE">
        <w:rPr>
          <w:rFonts w:ascii="Arial" w:eastAsia="Arial" w:hAnsi="Arial" w:cs="Arial"/>
          <w:sz w:val="24"/>
          <w:szCs w:val="24"/>
        </w:rPr>
        <w:t xml:space="preserve">Social enterprises provided they operate on a not-for-profit basis (including credit unions) </w:t>
      </w:r>
    </w:p>
    <w:p w14:paraId="53FD6EFA" w14:textId="77777777" w:rsidR="004846CC" w:rsidRPr="008778FE" w:rsidRDefault="004846CC" w:rsidP="008778FE">
      <w:pPr>
        <w:pStyle w:val="ListParagraph"/>
        <w:numPr>
          <w:ilvl w:val="0"/>
          <w:numId w:val="2"/>
        </w:numPr>
        <w:spacing w:after="0" w:line="240" w:lineRule="auto"/>
        <w:rPr>
          <w:rFonts w:ascii="Arial" w:hAnsi="Arial" w:cs="Arial"/>
          <w:sz w:val="24"/>
          <w:szCs w:val="24"/>
        </w:rPr>
      </w:pPr>
      <w:r w:rsidRPr="008778FE">
        <w:rPr>
          <w:rFonts w:ascii="Arial" w:eastAsia="Arial" w:hAnsi="Arial" w:cs="Arial"/>
          <w:sz w:val="24"/>
          <w:szCs w:val="24"/>
        </w:rPr>
        <w:t xml:space="preserve">Co-operatives </w:t>
      </w:r>
    </w:p>
    <w:p w14:paraId="3C975E26" w14:textId="77777777" w:rsidR="004846CC" w:rsidRPr="008778FE" w:rsidRDefault="004846CC" w:rsidP="008778FE">
      <w:pPr>
        <w:pStyle w:val="ListParagraph"/>
        <w:numPr>
          <w:ilvl w:val="0"/>
          <w:numId w:val="2"/>
        </w:numPr>
        <w:spacing w:after="0" w:line="240" w:lineRule="auto"/>
        <w:rPr>
          <w:rFonts w:ascii="Arial" w:hAnsi="Arial" w:cs="Arial"/>
          <w:sz w:val="24"/>
          <w:szCs w:val="24"/>
        </w:rPr>
      </w:pPr>
      <w:r w:rsidRPr="008778FE">
        <w:rPr>
          <w:rFonts w:ascii="Arial" w:eastAsia="Arial" w:hAnsi="Arial" w:cs="Arial"/>
          <w:sz w:val="24"/>
          <w:szCs w:val="24"/>
        </w:rPr>
        <w:t xml:space="preserve">Social firms </w:t>
      </w:r>
    </w:p>
    <w:p w14:paraId="1603BA90" w14:textId="77777777" w:rsidR="004846CC" w:rsidRPr="008778FE" w:rsidRDefault="004846CC" w:rsidP="008778FE">
      <w:pPr>
        <w:pStyle w:val="ListParagraph"/>
        <w:numPr>
          <w:ilvl w:val="0"/>
          <w:numId w:val="2"/>
        </w:numPr>
        <w:spacing w:after="0" w:line="240" w:lineRule="auto"/>
        <w:rPr>
          <w:rFonts w:ascii="Arial" w:hAnsi="Arial" w:cs="Arial"/>
          <w:sz w:val="24"/>
          <w:szCs w:val="24"/>
        </w:rPr>
      </w:pPr>
      <w:r w:rsidRPr="008778FE">
        <w:rPr>
          <w:rFonts w:ascii="Arial" w:eastAsia="Arial" w:hAnsi="Arial" w:cs="Arial"/>
          <w:sz w:val="24"/>
          <w:szCs w:val="24"/>
        </w:rPr>
        <w:t xml:space="preserve">Community owned enterprises </w:t>
      </w:r>
    </w:p>
    <w:p w14:paraId="2818E93A" w14:textId="77777777" w:rsidR="004846CC" w:rsidRPr="008778FE" w:rsidRDefault="004846CC" w:rsidP="008778FE">
      <w:pPr>
        <w:pStyle w:val="ListParagraph"/>
        <w:numPr>
          <w:ilvl w:val="0"/>
          <w:numId w:val="1"/>
        </w:numPr>
        <w:spacing w:after="0" w:line="240" w:lineRule="auto"/>
        <w:rPr>
          <w:rFonts w:ascii="Arial" w:hAnsi="Arial" w:cs="Arial"/>
          <w:sz w:val="24"/>
          <w:szCs w:val="24"/>
        </w:rPr>
      </w:pPr>
      <w:r w:rsidRPr="008778FE">
        <w:rPr>
          <w:rFonts w:ascii="Arial" w:eastAsia="Arial" w:hAnsi="Arial" w:cs="Arial"/>
          <w:sz w:val="24"/>
          <w:szCs w:val="24"/>
        </w:rPr>
        <w:t xml:space="preserve">Companies limited by guarantee </w:t>
      </w:r>
    </w:p>
    <w:p w14:paraId="5EB81169" w14:textId="77777777" w:rsidR="004846CC" w:rsidRPr="008778FE" w:rsidRDefault="004846CC" w:rsidP="008778FE">
      <w:pPr>
        <w:pStyle w:val="ListParagraph"/>
        <w:numPr>
          <w:ilvl w:val="0"/>
          <w:numId w:val="1"/>
        </w:numPr>
        <w:spacing w:after="0" w:line="240" w:lineRule="auto"/>
        <w:rPr>
          <w:rFonts w:ascii="Arial" w:hAnsi="Arial" w:cs="Arial"/>
          <w:sz w:val="24"/>
          <w:szCs w:val="24"/>
        </w:rPr>
      </w:pPr>
      <w:r w:rsidRPr="008778FE">
        <w:rPr>
          <w:rFonts w:ascii="Arial" w:eastAsia="Arial" w:hAnsi="Arial" w:cs="Arial"/>
          <w:sz w:val="24"/>
          <w:szCs w:val="24"/>
        </w:rPr>
        <w:t xml:space="preserve">Community interest companies and development trusts) </w:t>
      </w:r>
    </w:p>
    <w:p w14:paraId="5680E3F3" w14:textId="77777777" w:rsidR="004846CC" w:rsidRPr="008778FE" w:rsidRDefault="004846CC" w:rsidP="008778FE">
      <w:pPr>
        <w:pStyle w:val="ListParagraph"/>
        <w:numPr>
          <w:ilvl w:val="0"/>
          <w:numId w:val="1"/>
        </w:numPr>
        <w:spacing w:after="0" w:line="240" w:lineRule="auto"/>
        <w:rPr>
          <w:rFonts w:ascii="Arial" w:hAnsi="Arial" w:cs="Arial"/>
          <w:sz w:val="24"/>
          <w:szCs w:val="24"/>
        </w:rPr>
      </w:pPr>
      <w:r w:rsidRPr="008778FE">
        <w:rPr>
          <w:rFonts w:ascii="Arial" w:eastAsia="Arial" w:hAnsi="Arial" w:cs="Arial"/>
          <w:sz w:val="24"/>
          <w:szCs w:val="24"/>
        </w:rPr>
        <w:t xml:space="preserve">Charities </w:t>
      </w:r>
    </w:p>
    <w:p w14:paraId="29B5D651" w14:textId="2BFAB3FB" w:rsidR="004846CC" w:rsidRPr="00011F20" w:rsidRDefault="004846CC" w:rsidP="008778FE">
      <w:pPr>
        <w:pStyle w:val="ListParagraph"/>
        <w:numPr>
          <w:ilvl w:val="0"/>
          <w:numId w:val="1"/>
        </w:numPr>
        <w:spacing w:after="0" w:line="240" w:lineRule="auto"/>
        <w:rPr>
          <w:rFonts w:ascii="Arial" w:hAnsi="Arial" w:cs="Arial"/>
          <w:sz w:val="24"/>
          <w:szCs w:val="24"/>
        </w:rPr>
      </w:pPr>
      <w:r w:rsidRPr="008778FE">
        <w:rPr>
          <w:rFonts w:ascii="Arial" w:eastAsia="Arial" w:hAnsi="Arial" w:cs="Arial"/>
          <w:sz w:val="24"/>
          <w:szCs w:val="24"/>
        </w:rPr>
        <w:t xml:space="preserve">Third sector organisations.   </w:t>
      </w:r>
    </w:p>
    <w:p w14:paraId="4BD77661" w14:textId="77777777" w:rsidR="00011F20" w:rsidRPr="008778FE" w:rsidRDefault="00011F20" w:rsidP="00011F20">
      <w:pPr>
        <w:pStyle w:val="ListParagraph"/>
        <w:spacing w:after="0" w:line="240" w:lineRule="auto"/>
        <w:rPr>
          <w:rFonts w:ascii="Arial" w:hAnsi="Arial" w:cs="Arial"/>
          <w:sz w:val="24"/>
          <w:szCs w:val="24"/>
        </w:rPr>
      </w:pPr>
    </w:p>
    <w:p w14:paraId="3C1B2D9F" w14:textId="77777777" w:rsidR="00142A40" w:rsidRDefault="00F8289F" w:rsidP="008778FE">
      <w:pPr>
        <w:spacing w:after="0" w:line="240" w:lineRule="auto"/>
        <w:rPr>
          <w:rFonts w:ascii="Arial" w:eastAsia="Arial" w:hAnsi="Arial" w:cs="Arial"/>
          <w:sz w:val="24"/>
          <w:szCs w:val="24"/>
        </w:rPr>
      </w:pPr>
      <w:r w:rsidRPr="008778FE">
        <w:rPr>
          <w:rFonts w:ascii="Arial" w:eastAsia="Arial" w:hAnsi="Arial" w:cs="Arial"/>
          <w:sz w:val="24"/>
          <w:szCs w:val="24"/>
        </w:rPr>
        <w:t>Applicant</w:t>
      </w:r>
      <w:r w:rsidR="001A5E27">
        <w:rPr>
          <w:rFonts w:ascii="Arial" w:eastAsia="Arial" w:hAnsi="Arial" w:cs="Arial"/>
          <w:sz w:val="24"/>
          <w:szCs w:val="24"/>
        </w:rPr>
        <w:t>s</w:t>
      </w:r>
      <w:r w:rsidRPr="008778FE">
        <w:rPr>
          <w:rFonts w:ascii="Arial" w:eastAsia="Arial" w:hAnsi="Arial" w:cs="Arial"/>
          <w:sz w:val="24"/>
          <w:szCs w:val="24"/>
        </w:rPr>
        <w:t xml:space="preserve"> which are not legal entities may </w:t>
      </w:r>
      <w:r w:rsidR="00DF2588" w:rsidRPr="008778FE">
        <w:rPr>
          <w:rFonts w:ascii="Arial" w:eastAsia="Arial" w:hAnsi="Arial" w:cs="Arial"/>
          <w:sz w:val="24"/>
          <w:szCs w:val="24"/>
        </w:rPr>
        <w:t>participate</w:t>
      </w:r>
      <w:r w:rsidRPr="008778FE">
        <w:rPr>
          <w:rFonts w:ascii="Arial" w:eastAsia="Arial" w:hAnsi="Arial" w:cs="Arial"/>
          <w:sz w:val="24"/>
          <w:szCs w:val="24"/>
        </w:rPr>
        <w:t xml:space="preserve"> in the project, however all </w:t>
      </w:r>
      <w:r w:rsidR="00DF2588" w:rsidRPr="008778FE">
        <w:rPr>
          <w:rFonts w:ascii="Arial" w:eastAsia="Arial" w:hAnsi="Arial" w:cs="Arial"/>
          <w:sz w:val="24"/>
          <w:szCs w:val="24"/>
        </w:rPr>
        <w:t>expenditure</w:t>
      </w:r>
      <w:r w:rsidRPr="008778FE">
        <w:rPr>
          <w:rFonts w:ascii="Arial" w:eastAsia="Arial" w:hAnsi="Arial" w:cs="Arial"/>
          <w:sz w:val="24"/>
          <w:szCs w:val="24"/>
        </w:rPr>
        <w:t xml:space="preserve"> will be incurred directly by </w:t>
      </w:r>
      <w:proofErr w:type="spellStart"/>
      <w:r w:rsidRPr="008778FE">
        <w:rPr>
          <w:rFonts w:ascii="Arial" w:eastAsia="Arial" w:hAnsi="Arial" w:cs="Arial"/>
          <w:sz w:val="24"/>
          <w:szCs w:val="24"/>
        </w:rPr>
        <w:t>Cadwyn</w:t>
      </w:r>
      <w:proofErr w:type="spellEnd"/>
      <w:r w:rsidRPr="008778FE">
        <w:rPr>
          <w:rFonts w:ascii="Arial" w:eastAsia="Arial" w:hAnsi="Arial" w:cs="Arial"/>
          <w:sz w:val="24"/>
          <w:szCs w:val="24"/>
        </w:rPr>
        <w:t xml:space="preserve"> Clwyd</w:t>
      </w:r>
      <w:r w:rsidR="001217E1" w:rsidRPr="008778FE">
        <w:rPr>
          <w:rFonts w:ascii="Arial" w:eastAsia="Arial" w:hAnsi="Arial" w:cs="Arial"/>
          <w:sz w:val="24"/>
          <w:szCs w:val="24"/>
        </w:rPr>
        <w:t xml:space="preserve"> in those </w:t>
      </w:r>
      <w:r w:rsidR="003C5E56">
        <w:rPr>
          <w:rFonts w:ascii="Arial" w:eastAsia="Arial" w:hAnsi="Arial" w:cs="Arial"/>
          <w:sz w:val="24"/>
          <w:szCs w:val="24"/>
        </w:rPr>
        <w:t xml:space="preserve">instances, </w:t>
      </w:r>
      <w:r w:rsidR="001D4194">
        <w:rPr>
          <w:rFonts w:ascii="Arial" w:eastAsia="Arial" w:hAnsi="Arial" w:cs="Arial"/>
          <w:sz w:val="24"/>
          <w:szCs w:val="24"/>
        </w:rPr>
        <w:t xml:space="preserve">under </w:t>
      </w:r>
      <w:proofErr w:type="spellStart"/>
      <w:r w:rsidR="001D4194" w:rsidRPr="003C5E56">
        <w:rPr>
          <w:rFonts w:ascii="Arial" w:eastAsia="Arial" w:hAnsi="Arial" w:cs="Arial"/>
          <w:b/>
          <w:bCs/>
          <w:sz w:val="24"/>
          <w:szCs w:val="24"/>
        </w:rPr>
        <w:t>Cadwyn</w:t>
      </w:r>
      <w:proofErr w:type="spellEnd"/>
      <w:r w:rsidR="001D4194" w:rsidRPr="003C5E56">
        <w:rPr>
          <w:rFonts w:ascii="Arial" w:eastAsia="Arial" w:hAnsi="Arial" w:cs="Arial"/>
          <w:b/>
          <w:bCs/>
          <w:sz w:val="24"/>
          <w:szCs w:val="24"/>
        </w:rPr>
        <w:t xml:space="preserve"> Direct Project Expenditure</w:t>
      </w:r>
      <w:r w:rsidRPr="008778FE">
        <w:rPr>
          <w:rFonts w:ascii="Arial" w:eastAsia="Arial" w:hAnsi="Arial" w:cs="Arial"/>
          <w:sz w:val="24"/>
          <w:szCs w:val="24"/>
        </w:rPr>
        <w:t>.</w:t>
      </w:r>
      <w:r w:rsidR="00914603">
        <w:rPr>
          <w:rFonts w:ascii="Arial" w:eastAsia="Arial" w:hAnsi="Arial" w:cs="Arial"/>
          <w:sz w:val="24"/>
          <w:szCs w:val="24"/>
        </w:rPr>
        <w:t xml:space="preserve"> </w:t>
      </w:r>
      <w:r w:rsidRPr="008778FE">
        <w:rPr>
          <w:rFonts w:ascii="Arial" w:eastAsia="Arial" w:hAnsi="Arial" w:cs="Arial"/>
          <w:sz w:val="24"/>
          <w:szCs w:val="24"/>
        </w:rPr>
        <w:t xml:space="preserve">Applicants who are legal entities may implement the project </w:t>
      </w:r>
      <w:r w:rsidR="00F71575">
        <w:rPr>
          <w:rFonts w:ascii="Arial" w:eastAsia="Arial" w:hAnsi="Arial" w:cs="Arial"/>
          <w:sz w:val="24"/>
          <w:szCs w:val="24"/>
        </w:rPr>
        <w:t xml:space="preserve">either </w:t>
      </w:r>
      <w:r w:rsidRPr="008778FE">
        <w:rPr>
          <w:rFonts w:ascii="Arial" w:eastAsia="Arial" w:hAnsi="Arial" w:cs="Arial"/>
          <w:sz w:val="24"/>
          <w:szCs w:val="24"/>
        </w:rPr>
        <w:t>directly themselves</w:t>
      </w:r>
      <w:r w:rsidR="001217E1" w:rsidRPr="008778FE">
        <w:rPr>
          <w:rFonts w:ascii="Arial" w:eastAsia="Arial" w:hAnsi="Arial" w:cs="Arial"/>
          <w:sz w:val="24"/>
          <w:szCs w:val="24"/>
        </w:rPr>
        <w:t xml:space="preserve"> </w:t>
      </w:r>
      <w:r w:rsidR="003C5E56">
        <w:rPr>
          <w:rFonts w:ascii="Arial" w:eastAsia="Arial" w:hAnsi="Arial" w:cs="Arial"/>
          <w:sz w:val="24"/>
          <w:szCs w:val="24"/>
        </w:rPr>
        <w:t xml:space="preserve">via a </w:t>
      </w:r>
      <w:r w:rsidR="003C5E56" w:rsidRPr="003C5E56">
        <w:rPr>
          <w:rFonts w:ascii="Arial" w:eastAsia="Arial" w:hAnsi="Arial" w:cs="Arial"/>
          <w:b/>
          <w:bCs/>
          <w:sz w:val="24"/>
          <w:szCs w:val="24"/>
        </w:rPr>
        <w:t>Grant</w:t>
      </w:r>
      <w:r w:rsidR="00142A40">
        <w:rPr>
          <w:rFonts w:ascii="Arial" w:eastAsia="Arial" w:hAnsi="Arial" w:cs="Arial"/>
          <w:b/>
          <w:bCs/>
          <w:sz w:val="24"/>
          <w:szCs w:val="24"/>
        </w:rPr>
        <w:t xml:space="preserve"> </w:t>
      </w:r>
      <w:r w:rsidR="00142A40">
        <w:rPr>
          <w:rFonts w:ascii="Arial" w:eastAsia="Arial" w:hAnsi="Arial" w:cs="Arial"/>
          <w:sz w:val="24"/>
          <w:szCs w:val="24"/>
        </w:rPr>
        <w:t>payment</w:t>
      </w:r>
      <w:r w:rsidR="00D56257">
        <w:rPr>
          <w:rFonts w:ascii="Arial" w:eastAsia="Arial" w:hAnsi="Arial" w:cs="Arial"/>
          <w:sz w:val="24"/>
          <w:szCs w:val="24"/>
        </w:rPr>
        <w:t xml:space="preserve">, </w:t>
      </w:r>
      <w:r w:rsidRPr="008778FE">
        <w:rPr>
          <w:rFonts w:ascii="Arial" w:eastAsia="Arial" w:hAnsi="Arial" w:cs="Arial"/>
          <w:sz w:val="24"/>
          <w:szCs w:val="24"/>
        </w:rPr>
        <w:t xml:space="preserve">or </w:t>
      </w:r>
      <w:r w:rsidR="001217E1" w:rsidRPr="008778FE">
        <w:rPr>
          <w:rFonts w:ascii="Arial" w:eastAsia="Arial" w:hAnsi="Arial" w:cs="Arial"/>
          <w:sz w:val="24"/>
          <w:szCs w:val="24"/>
        </w:rPr>
        <w:t>may request</w:t>
      </w:r>
      <w:r w:rsidRPr="008778FE">
        <w:rPr>
          <w:rFonts w:ascii="Arial" w:eastAsia="Arial" w:hAnsi="Arial" w:cs="Arial"/>
          <w:sz w:val="24"/>
          <w:szCs w:val="24"/>
        </w:rPr>
        <w:t xml:space="preserve"> </w:t>
      </w:r>
      <w:proofErr w:type="spellStart"/>
      <w:r w:rsidRPr="008778FE">
        <w:rPr>
          <w:rFonts w:ascii="Arial" w:eastAsia="Arial" w:hAnsi="Arial" w:cs="Arial"/>
          <w:sz w:val="24"/>
          <w:szCs w:val="24"/>
        </w:rPr>
        <w:t>Cadwyn</w:t>
      </w:r>
      <w:proofErr w:type="spellEnd"/>
      <w:r w:rsidRPr="008778FE">
        <w:rPr>
          <w:rFonts w:ascii="Arial" w:eastAsia="Arial" w:hAnsi="Arial" w:cs="Arial"/>
          <w:sz w:val="24"/>
          <w:szCs w:val="24"/>
        </w:rPr>
        <w:t xml:space="preserve"> Clwyd</w:t>
      </w:r>
      <w:r w:rsidR="001217E1" w:rsidRPr="008778FE">
        <w:rPr>
          <w:rFonts w:ascii="Arial" w:eastAsia="Arial" w:hAnsi="Arial" w:cs="Arial"/>
          <w:sz w:val="24"/>
          <w:szCs w:val="24"/>
        </w:rPr>
        <w:t xml:space="preserve"> to incur the expenditure (</w:t>
      </w:r>
      <w:proofErr w:type="spellStart"/>
      <w:r w:rsidR="001217E1" w:rsidRPr="008778FE">
        <w:rPr>
          <w:rFonts w:ascii="Arial" w:eastAsia="Arial" w:hAnsi="Arial" w:cs="Arial"/>
          <w:sz w:val="24"/>
          <w:szCs w:val="24"/>
        </w:rPr>
        <w:t>Cadwyn</w:t>
      </w:r>
      <w:proofErr w:type="spellEnd"/>
      <w:r w:rsidR="001217E1" w:rsidRPr="008778FE">
        <w:rPr>
          <w:rFonts w:ascii="Arial" w:eastAsia="Arial" w:hAnsi="Arial" w:cs="Arial"/>
          <w:sz w:val="24"/>
          <w:szCs w:val="24"/>
        </w:rPr>
        <w:t xml:space="preserve"> </w:t>
      </w:r>
      <w:r w:rsidR="001D4194">
        <w:rPr>
          <w:rFonts w:ascii="Arial" w:eastAsia="Arial" w:hAnsi="Arial" w:cs="Arial"/>
          <w:sz w:val="24"/>
          <w:szCs w:val="24"/>
        </w:rPr>
        <w:t>D</w:t>
      </w:r>
      <w:r w:rsidR="001217E1" w:rsidRPr="008778FE">
        <w:rPr>
          <w:rFonts w:ascii="Arial" w:eastAsia="Arial" w:hAnsi="Arial" w:cs="Arial"/>
          <w:sz w:val="24"/>
          <w:szCs w:val="24"/>
        </w:rPr>
        <w:t xml:space="preserve">irect </w:t>
      </w:r>
      <w:r w:rsidR="001D4194">
        <w:rPr>
          <w:rFonts w:ascii="Arial" w:eastAsia="Arial" w:hAnsi="Arial" w:cs="Arial"/>
          <w:sz w:val="24"/>
          <w:szCs w:val="24"/>
        </w:rPr>
        <w:t>Project E</w:t>
      </w:r>
      <w:r w:rsidR="001217E1" w:rsidRPr="008778FE">
        <w:rPr>
          <w:rFonts w:ascii="Arial" w:eastAsia="Arial" w:hAnsi="Arial" w:cs="Arial"/>
          <w:sz w:val="24"/>
          <w:szCs w:val="24"/>
        </w:rPr>
        <w:t>xpenditure)</w:t>
      </w:r>
      <w:r w:rsidRPr="008778FE">
        <w:rPr>
          <w:rFonts w:ascii="Arial" w:eastAsia="Arial" w:hAnsi="Arial" w:cs="Arial"/>
          <w:sz w:val="24"/>
          <w:szCs w:val="24"/>
        </w:rPr>
        <w:t xml:space="preserve">. </w:t>
      </w:r>
      <w:r w:rsidR="001217E1" w:rsidRPr="008778FE">
        <w:rPr>
          <w:rFonts w:ascii="Arial" w:eastAsia="Arial" w:hAnsi="Arial" w:cs="Arial"/>
          <w:sz w:val="24"/>
          <w:szCs w:val="24"/>
        </w:rPr>
        <w:t>Applicant</w:t>
      </w:r>
      <w:r w:rsidR="00126F66">
        <w:rPr>
          <w:rFonts w:ascii="Arial" w:eastAsia="Arial" w:hAnsi="Arial" w:cs="Arial"/>
          <w:sz w:val="24"/>
          <w:szCs w:val="24"/>
        </w:rPr>
        <w:t xml:space="preserve">s for a </w:t>
      </w:r>
      <w:r w:rsidR="00126F66" w:rsidRPr="00126F66">
        <w:rPr>
          <w:rFonts w:ascii="Arial" w:eastAsia="Arial" w:hAnsi="Arial" w:cs="Arial"/>
          <w:b/>
          <w:bCs/>
          <w:sz w:val="24"/>
          <w:szCs w:val="24"/>
        </w:rPr>
        <w:t>Grant</w:t>
      </w:r>
      <w:r w:rsidR="001217E1" w:rsidRPr="008778FE">
        <w:rPr>
          <w:rFonts w:ascii="Arial" w:eastAsia="Arial" w:hAnsi="Arial" w:cs="Arial"/>
          <w:sz w:val="24"/>
          <w:szCs w:val="24"/>
        </w:rPr>
        <w:t xml:space="preserve"> </w:t>
      </w:r>
      <w:r w:rsidRPr="008778FE">
        <w:rPr>
          <w:rFonts w:ascii="Arial" w:eastAsia="Arial" w:hAnsi="Arial" w:cs="Arial"/>
          <w:sz w:val="24"/>
          <w:szCs w:val="24"/>
        </w:rPr>
        <w:t>must ensure they have a Customer Reference Number from Rural Payments Wales prior to commencement of the project.</w:t>
      </w:r>
      <w:r w:rsidR="00FF1B38">
        <w:rPr>
          <w:rFonts w:ascii="Arial" w:eastAsia="Arial" w:hAnsi="Arial" w:cs="Arial"/>
          <w:sz w:val="24"/>
          <w:szCs w:val="24"/>
        </w:rPr>
        <w:t xml:space="preserve"> </w:t>
      </w:r>
      <w:r w:rsidR="00914603">
        <w:rPr>
          <w:rFonts w:ascii="Arial" w:eastAsia="Arial" w:hAnsi="Arial" w:cs="Arial"/>
          <w:sz w:val="24"/>
          <w:szCs w:val="24"/>
        </w:rPr>
        <w:t>Th</w:t>
      </w:r>
      <w:r w:rsidR="00A07F8B">
        <w:rPr>
          <w:rFonts w:ascii="Arial" w:eastAsia="Arial" w:hAnsi="Arial" w:cs="Arial"/>
          <w:sz w:val="24"/>
          <w:szCs w:val="24"/>
        </w:rPr>
        <w:t xml:space="preserve">ey should also ensure they have sufficient cash flow for project expenditure over the lifetime of the project. </w:t>
      </w:r>
    </w:p>
    <w:p w14:paraId="3FEBB0A0" w14:textId="6C16A740" w:rsidR="004846CC" w:rsidRPr="008778FE" w:rsidRDefault="00011F20" w:rsidP="008778FE">
      <w:pPr>
        <w:spacing w:after="0" w:line="240" w:lineRule="auto"/>
        <w:rPr>
          <w:rFonts w:ascii="Arial" w:eastAsia="Arial" w:hAnsi="Arial" w:cs="Arial"/>
          <w:sz w:val="24"/>
          <w:szCs w:val="24"/>
        </w:rPr>
      </w:pPr>
      <w:r>
        <w:rPr>
          <w:rFonts w:ascii="Arial" w:eastAsia="Arial" w:hAnsi="Arial" w:cs="Arial"/>
          <w:sz w:val="24"/>
          <w:szCs w:val="24"/>
        </w:rPr>
        <w:t>See below for further information.</w:t>
      </w:r>
    </w:p>
    <w:p w14:paraId="4FE3C3BD" w14:textId="77777777" w:rsidR="00BB1BAC" w:rsidRPr="008778FE" w:rsidRDefault="00BB1BAC" w:rsidP="008778FE">
      <w:pPr>
        <w:spacing w:after="0" w:line="240" w:lineRule="auto"/>
        <w:rPr>
          <w:rFonts w:ascii="Arial" w:eastAsia="Arial" w:hAnsi="Arial" w:cs="Arial"/>
          <w:sz w:val="24"/>
          <w:szCs w:val="24"/>
        </w:rPr>
      </w:pPr>
    </w:p>
    <w:p w14:paraId="047FB094" w14:textId="77777777" w:rsidR="001A5E27" w:rsidRDefault="001A5E27" w:rsidP="008778FE">
      <w:pPr>
        <w:spacing w:after="0" w:line="240" w:lineRule="auto"/>
        <w:rPr>
          <w:rFonts w:ascii="Arial" w:hAnsi="Arial" w:cs="Arial"/>
          <w:b/>
          <w:bCs/>
          <w:i/>
          <w:iCs/>
          <w:sz w:val="24"/>
          <w:szCs w:val="24"/>
        </w:rPr>
      </w:pPr>
    </w:p>
    <w:p w14:paraId="21699DF2" w14:textId="31A5CD59" w:rsidR="00AE649E" w:rsidRPr="00E86011" w:rsidRDefault="000F49A1" w:rsidP="008778FE">
      <w:pPr>
        <w:spacing w:after="0" w:line="240" w:lineRule="auto"/>
        <w:rPr>
          <w:rFonts w:ascii="Arial" w:hAnsi="Arial" w:cs="Arial"/>
          <w:b/>
          <w:bCs/>
          <w:i/>
          <w:iCs/>
          <w:sz w:val="24"/>
          <w:szCs w:val="24"/>
        </w:rPr>
      </w:pPr>
      <w:r w:rsidRPr="00011F20">
        <w:rPr>
          <w:rFonts w:ascii="Arial" w:hAnsi="Arial" w:cs="Arial"/>
          <w:b/>
          <w:bCs/>
          <w:i/>
          <w:iCs/>
          <w:sz w:val="24"/>
          <w:szCs w:val="24"/>
        </w:rPr>
        <w:t>Technical Guidance</w:t>
      </w:r>
    </w:p>
    <w:p w14:paraId="0C7C7745" w14:textId="77777777" w:rsidR="001A5E27" w:rsidRDefault="001A5E27" w:rsidP="008778FE">
      <w:pPr>
        <w:spacing w:after="0" w:line="240" w:lineRule="auto"/>
        <w:rPr>
          <w:rFonts w:ascii="Arial" w:hAnsi="Arial" w:cs="Arial"/>
          <w:sz w:val="24"/>
          <w:szCs w:val="24"/>
        </w:rPr>
      </w:pPr>
    </w:p>
    <w:p w14:paraId="6BDD1AB0" w14:textId="29751A3E" w:rsidR="00AE649E" w:rsidRPr="008778FE" w:rsidRDefault="00AE649E" w:rsidP="008778FE">
      <w:pPr>
        <w:spacing w:after="0" w:line="240" w:lineRule="auto"/>
        <w:rPr>
          <w:rFonts w:ascii="Arial" w:hAnsi="Arial" w:cs="Arial"/>
          <w:sz w:val="24"/>
          <w:szCs w:val="24"/>
        </w:rPr>
      </w:pPr>
      <w:r w:rsidRPr="008778FE">
        <w:rPr>
          <w:rFonts w:ascii="Arial" w:hAnsi="Arial" w:cs="Arial"/>
          <w:sz w:val="24"/>
          <w:szCs w:val="24"/>
        </w:rPr>
        <w:t xml:space="preserve">All projects funded through </w:t>
      </w:r>
      <w:r w:rsidR="000F49A1" w:rsidRPr="008778FE">
        <w:rPr>
          <w:rFonts w:ascii="Arial" w:hAnsi="Arial" w:cs="Arial"/>
          <w:sz w:val="24"/>
          <w:szCs w:val="24"/>
        </w:rPr>
        <w:t>GREEN COMMUNITIES</w:t>
      </w:r>
      <w:r w:rsidRPr="008778FE">
        <w:rPr>
          <w:rFonts w:ascii="Arial" w:hAnsi="Arial" w:cs="Arial"/>
          <w:sz w:val="24"/>
          <w:szCs w:val="24"/>
        </w:rPr>
        <w:t xml:space="preserve"> must demonstrate value for money and open and transparent procurement of goods and services.  Projects must adhere to the following requirements for procuring goods and services:</w:t>
      </w:r>
    </w:p>
    <w:p w14:paraId="1C55C09C" w14:textId="77777777" w:rsidR="00AE649E" w:rsidRPr="008778FE" w:rsidRDefault="00AE649E" w:rsidP="008778FE">
      <w:pPr>
        <w:spacing w:after="0" w:line="240" w:lineRule="auto"/>
        <w:rPr>
          <w:rFonts w:ascii="Arial" w:hAnsi="Arial" w:cs="Arial"/>
          <w:sz w:val="24"/>
          <w:szCs w:val="24"/>
        </w:rPr>
      </w:pPr>
    </w:p>
    <w:p w14:paraId="20CADF17" w14:textId="77777777" w:rsidR="00AE649E" w:rsidRPr="008778FE" w:rsidRDefault="00AE649E" w:rsidP="008778FE">
      <w:pPr>
        <w:spacing w:after="0" w:line="240" w:lineRule="auto"/>
        <w:rPr>
          <w:rFonts w:ascii="Arial" w:hAnsi="Arial" w:cs="Arial"/>
          <w:sz w:val="24"/>
          <w:szCs w:val="24"/>
        </w:rPr>
      </w:pPr>
    </w:p>
    <w:tbl>
      <w:tblPr>
        <w:tblW w:w="0" w:type="auto"/>
        <w:jc w:val="center"/>
        <w:tblCellMar>
          <w:left w:w="0" w:type="dxa"/>
          <w:right w:w="0" w:type="dxa"/>
        </w:tblCellMar>
        <w:tblLook w:val="04A0" w:firstRow="1" w:lastRow="0" w:firstColumn="1" w:lastColumn="0" w:noHBand="0" w:noVBand="1"/>
      </w:tblPr>
      <w:tblGrid>
        <w:gridCol w:w="3080"/>
        <w:gridCol w:w="3081"/>
        <w:gridCol w:w="3081"/>
      </w:tblGrid>
      <w:tr w:rsidR="00AE649E" w:rsidRPr="008778FE" w14:paraId="4F146C99" w14:textId="77777777" w:rsidTr="002D4238">
        <w:trPr>
          <w:jc w:val="center"/>
        </w:trPr>
        <w:tc>
          <w:tcPr>
            <w:tcW w:w="30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1DD3499" w14:textId="77777777" w:rsidR="00AE649E" w:rsidRPr="008778FE" w:rsidRDefault="00AE649E" w:rsidP="008778FE">
            <w:pPr>
              <w:pStyle w:val="xmsonormal"/>
              <w:spacing w:before="0" w:beforeAutospacing="0" w:after="0" w:afterAutospacing="0"/>
              <w:rPr>
                <w:rFonts w:ascii="Arial" w:hAnsi="Arial" w:cs="Arial"/>
                <w:b/>
                <w:bCs/>
              </w:rPr>
            </w:pPr>
            <w:r w:rsidRPr="008778FE">
              <w:rPr>
                <w:rFonts w:ascii="Arial" w:hAnsi="Arial" w:cs="Arial"/>
                <w:b/>
                <w:bCs/>
              </w:rPr>
              <w:t xml:space="preserve">Final Value of Goods/Services </w:t>
            </w:r>
          </w:p>
          <w:p w14:paraId="3E3790BF" w14:textId="77777777" w:rsidR="00AE649E" w:rsidRPr="008778FE" w:rsidRDefault="00AE649E" w:rsidP="008778FE">
            <w:pPr>
              <w:pStyle w:val="xmsonormal"/>
              <w:spacing w:before="0" w:beforeAutospacing="0" w:after="0" w:afterAutospacing="0"/>
              <w:rPr>
                <w:rFonts w:ascii="Arial" w:hAnsi="Arial" w:cs="Arial"/>
                <w:b/>
                <w:color w:val="FF0000"/>
              </w:rPr>
            </w:pPr>
            <w:r w:rsidRPr="008778FE">
              <w:rPr>
                <w:rFonts w:ascii="Arial" w:hAnsi="Arial" w:cs="Arial"/>
                <w:b/>
                <w:bCs/>
              </w:rPr>
              <w:t>(excluding VAT)</w:t>
            </w:r>
          </w:p>
        </w:tc>
        <w:tc>
          <w:tcPr>
            <w:tcW w:w="30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B8CDF1"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b/>
                <w:bCs/>
              </w:rPr>
              <w:t>Requirement</w:t>
            </w:r>
          </w:p>
        </w:tc>
        <w:tc>
          <w:tcPr>
            <w:tcW w:w="30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0C19F98"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b/>
                <w:bCs/>
              </w:rPr>
              <w:t>Action</w:t>
            </w:r>
          </w:p>
        </w:tc>
      </w:tr>
      <w:tr w:rsidR="00AE649E" w:rsidRPr="008778FE" w14:paraId="22143D99" w14:textId="77777777" w:rsidTr="002D4238">
        <w:trPr>
          <w:jc w:val="center"/>
        </w:trPr>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71674"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£0 - £4,999</w:t>
            </w:r>
          </w:p>
          <w:p w14:paraId="08453710"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625E08E6"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One written quote*</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4C884036"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xml:space="preserve">It is recommended to use suppliers that are registered on </w:t>
            </w:r>
            <w:r w:rsidR="004C31EA">
              <w:fldChar w:fldCharType="begin"/>
            </w:r>
            <w:r w:rsidR="004C31EA">
              <w:instrText xml:space="preserve"> HYPERLINK "http://www.sell2wales.gov.wales" </w:instrText>
            </w:r>
            <w:r w:rsidR="004C31EA">
              <w:fldChar w:fldCharType="separate"/>
            </w:r>
            <w:r w:rsidRPr="008778FE">
              <w:rPr>
                <w:rStyle w:val="Hyperlink"/>
                <w:rFonts w:ascii="Arial" w:hAnsi="Arial" w:cs="Arial"/>
              </w:rPr>
              <w:t>www.sell2wales.gov.wales</w:t>
            </w:r>
            <w:r w:rsidR="004C31EA">
              <w:rPr>
                <w:rStyle w:val="Hyperlink"/>
                <w:rFonts w:ascii="Arial" w:hAnsi="Arial" w:cs="Arial"/>
              </w:rPr>
              <w:fldChar w:fldCharType="end"/>
            </w:r>
          </w:p>
        </w:tc>
      </w:tr>
      <w:tr w:rsidR="00AE649E" w:rsidRPr="008778FE" w14:paraId="4FE54AED" w14:textId="77777777" w:rsidTr="002D4238">
        <w:trPr>
          <w:jc w:val="center"/>
        </w:trPr>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BD239"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£5,000 - £24,999</w:t>
            </w:r>
          </w:p>
          <w:p w14:paraId="780CC505"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1CEF5BD0"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At Least Three written quotes*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25A1EBF1"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xml:space="preserve">It is recommended to use suppliers that are registered on </w:t>
            </w:r>
            <w:r w:rsidR="004C31EA">
              <w:fldChar w:fldCharType="begin"/>
            </w:r>
            <w:r w:rsidR="004C31EA">
              <w:instrText xml:space="preserve"> HYPERLINK "http://www.sell2wales.gov.wales" </w:instrText>
            </w:r>
            <w:r w:rsidR="004C31EA">
              <w:fldChar w:fldCharType="separate"/>
            </w:r>
            <w:r w:rsidRPr="008778FE">
              <w:rPr>
                <w:rStyle w:val="Hyperlink"/>
                <w:rFonts w:ascii="Arial" w:hAnsi="Arial" w:cs="Arial"/>
              </w:rPr>
              <w:t>www.sell2wales.gov.wales</w:t>
            </w:r>
            <w:r w:rsidR="004C31EA">
              <w:rPr>
                <w:rStyle w:val="Hyperlink"/>
                <w:rFonts w:ascii="Arial" w:hAnsi="Arial" w:cs="Arial"/>
              </w:rPr>
              <w:fldChar w:fldCharType="end"/>
            </w:r>
          </w:p>
        </w:tc>
      </w:tr>
      <w:tr w:rsidR="00AE649E" w:rsidRPr="008778FE" w14:paraId="51FCA01F" w14:textId="77777777" w:rsidTr="002D4238">
        <w:trPr>
          <w:jc w:val="center"/>
        </w:trPr>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83FCA"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xml:space="preserve">£25,000 - £106,046 </w:t>
            </w:r>
          </w:p>
          <w:p w14:paraId="6233EC1E"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(Goods and Services)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CF61C87"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Full and open competition*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08B15AE3"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xml:space="preserve">Requirements may be published through </w:t>
            </w:r>
            <w:r w:rsidR="004C31EA">
              <w:fldChar w:fldCharType="begin"/>
            </w:r>
            <w:r w:rsidR="004C31EA">
              <w:instrText xml:space="preserve"> HYPERLINK "http://www.sell2wales.gov.wales" </w:instrText>
            </w:r>
            <w:r w:rsidR="004C31EA">
              <w:fldChar w:fldCharType="separate"/>
            </w:r>
            <w:r w:rsidRPr="008778FE">
              <w:rPr>
                <w:rStyle w:val="Hyperlink"/>
                <w:rFonts w:ascii="Arial" w:hAnsi="Arial" w:cs="Arial"/>
              </w:rPr>
              <w:t>www.sell2wales.gov.wales</w:t>
            </w:r>
            <w:r w:rsidR="004C31EA">
              <w:rPr>
                <w:rStyle w:val="Hyperlink"/>
                <w:rFonts w:ascii="Arial" w:hAnsi="Arial" w:cs="Arial"/>
              </w:rPr>
              <w:fldChar w:fldCharType="end"/>
            </w:r>
          </w:p>
          <w:p w14:paraId="16F8630D"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Quotes may be sought by direct reference to suppliers</w:t>
            </w:r>
          </w:p>
        </w:tc>
      </w:tr>
      <w:tr w:rsidR="00AE649E" w:rsidRPr="008778FE" w14:paraId="1AE92293" w14:textId="77777777" w:rsidTr="002D4238">
        <w:trPr>
          <w:jc w:val="center"/>
        </w:trPr>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79A27"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£25,000 - £4,104,393 (Works)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4A01C2A7"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Full and open competition*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40955D81"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xml:space="preserve">Requirements may be published through </w:t>
            </w:r>
            <w:r w:rsidR="004C31EA">
              <w:fldChar w:fldCharType="begin"/>
            </w:r>
            <w:r w:rsidR="004C31EA">
              <w:instrText xml:space="preserve"> HYPERLINK "http://www.sell2wales.gov.wales" </w:instrText>
            </w:r>
            <w:r w:rsidR="004C31EA">
              <w:fldChar w:fldCharType="separate"/>
            </w:r>
            <w:r w:rsidRPr="008778FE">
              <w:rPr>
                <w:rStyle w:val="Hyperlink"/>
                <w:rFonts w:ascii="Arial" w:hAnsi="Arial" w:cs="Arial"/>
              </w:rPr>
              <w:t>www.sell2wales.gov.wales</w:t>
            </w:r>
            <w:r w:rsidR="004C31EA">
              <w:rPr>
                <w:rStyle w:val="Hyperlink"/>
                <w:rFonts w:ascii="Arial" w:hAnsi="Arial" w:cs="Arial"/>
              </w:rPr>
              <w:fldChar w:fldCharType="end"/>
            </w:r>
          </w:p>
          <w:p w14:paraId="3D30F9BA"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Quotes may be sought by direct reference to suppliers</w:t>
            </w:r>
          </w:p>
        </w:tc>
      </w:tr>
      <w:tr w:rsidR="00AE649E" w:rsidRPr="008778FE" w14:paraId="1758984D" w14:textId="77777777" w:rsidTr="002D4238">
        <w:trPr>
          <w:jc w:val="center"/>
        </w:trPr>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0183F"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xml:space="preserve">£106,047 and above </w:t>
            </w:r>
          </w:p>
          <w:p w14:paraId="3C0F2797"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(Goods and Services)</w:t>
            </w:r>
          </w:p>
          <w:p w14:paraId="2C6EABB1"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2CBD64FE"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Full and open competition*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8D826E2"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xml:space="preserve">Publish requirement throughout Europe via </w:t>
            </w:r>
            <w:r w:rsidR="004C31EA">
              <w:fldChar w:fldCharType="begin"/>
            </w:r>
            <w:r w:rsidR="004C31EA">
              <w:instrText xml:space="preserve"> HYPERLINK "http://www.sell2wales.gov.wales" </w:instrText>
            </w:r>
            <w:r w:rsidR="004C31EA">
              <w:fldChar w:fldCharType="separate"/>
            </w:r>
            <w:r w:rsidRPr="008778FE">
              <w:rPr>
                <w:rStyle w:val="Hyperlink"/>
                <w:rFonts w:ascii="Arial" w:hAnsi="Arial" w:cs="Arial"/>
              </w:rPr>
              <w:t>www.sell2wales.gov.wales</w:t>
            </w:r>
            <w:r w:rsidR="004C31EA">
              <w:rPr>
                <w:rStyle w:val="Hyperlink"/>
                <w:rFonts w:ascii="Arial" w:hAnsi="Arial" w:cs="Arial"/>
              </w:rPr>
              <w:fldChar w:fldCharType="end"/>
            </w:r>
          </w:p>
        </w:tc>
      </w:tr>
      <w:tr w:rsidR="00AE649E" w:rsidRPr="008778FE" w14:paraId="0158F933" w14:textId="77777777" w:rsidTr="002D4238">
        <w:trPr>
          <w:jc w:val="center"/>
        </w:trPr>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7808A"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£4,104,394 and above (Works)</w:t>
            </w:r>
          </w:p>
          <w:p w14:paraId="326AFB4F"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4D37E2FC"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Full and open competition*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740BBCDA" w14:textId="77777777" w:rsidR="00AE649E" w:rsidRPr="008778FE" w:rsidRDefault="00AE649E" w:rsidP="008778FE">
            <w:pPr>
              <w:pStyle w:val="xmsonormal"/>
              <w:spacing w:before="0" w:beforeAutospacing="0" w:after="0" w:afterAutospacing="0"/>
              <w:rPr>
                <w:rFonts w:ascii="Arial" w:hAnsi="Arial" w:cs="Arial"/>
              </w:rPr>
            </w:pPr>
            <w:r w:rsidRPr="008778FE">
              <w:rPr>
                <w:rFonts w:ascii="Arial" w:hAnsi="Arial" w:cs="Arial"/>
              </w:rPr>
              <w:t xml:space="preserve">Publish requirement throughout Europe via </w:t>
            </w:r>
            <w:r w:rsidR="004C31EA">
              <w:fldChar w:fldCharType="begin"/>
            </w:r>
            <w:r w:rsidR="004C31EA">
              <w:instrText xml:space="preserve"> HYPERLINK "http://www.sell2wales.gov.</w:instrText>
            </w:r>
            <w:r w:rsidR="004C31EA">
              <w:instrText xml:space="preserve">wales" </w:instrText>
            </w:r>
            <w:r w:rsidR="004C31EA">
              <w:fldChar w:fldCharType="separate"/>
            </w:r>
            <w:r w:rsidRPr="008778FE">
              <w:rPr>
                <w:rStyle w:val="Hyperlink"/>
                <w:rFonts w:ascii="Arial" w:hAnsi="Arial" w:cs="Arial"/>
              </w:rPr>
              <w:t>www.sell2wales.gov.wales</w:t>
            </w:r>
            <w:r w:rsidR="004C31EA">
              <w:rPr>
                <w:rStyle w:val="Hyperlink"/>
                <w:rFonts w:ascii="Arial" w:hAnsi="Arial" w:cs="Arial"/>
              </w:rPr>
              <w:fldChar w:fldCharType="end"/>
            </w:r>
          </w:p>
        </w:tc>
      </w:tr>
    </w:tbl>
    <w:p w14:paraId="4D5CD2B2" w14:textId="77777777" w:rsidR="00AE649E" w:rsidRPr="008778FE" w:rsidRDefault="00AE649E" w:rsidP="008778FE">
      <w:pPr>
        <w:spacing w:after="0" w:line="240" w:lineRule="auto"/>
        <w:ind w:left="720"/>
        <w:rPr>
          <w:rFonts w:ascii="Arial" w:hAnsi="Arial" w:cs="Arial"/>
          <w:sz w:val="24"/>
          <w:szCs w:val="24"/>
        </w:rPr>
      </w:pPr>
      <w:r w:rsidRPr="008778FE">
        <w:rPr>
          <w:rFonts w:ascii="Arial" w:hAnsi="Arial" w:cs="Arial"/>
          <w:sz w:val="24"/>
          <w:szCs w:val="24"/>
        </w:rPr>
        <w:t xml:space="preserve">*Documented evidence will be kept on file </w:t>
      </w:r>
    </w:p>
    <w:p w14:paraId="7D0BE734" w14:textId="77777777" w:rsidR="00AE649E" w:rsidRPr="008778FE" w:rsidRDefault="00AE649E" w:rsidP="008778FE">
      <w:pPr>
        <w:spacing w:after="0" w:line="240" w:lineRule="auto"/>
        <w:rPr>
          <w:rFonts w:ascii="Arial" w:hAnsi="Arial" w:cs="Arial"/>
          <w:sz w:val="24"/>
          <w:szCs w:val="24"/>
        </w:rPr>
      </w:pPr>
    </w:p>
    <w:p w14:paraId="77F6BA10" w14:textId="30934CB9" w:rsidR="00AE649E" w:rsidRDefault="00AE649E" w:rsidP="008778FE">
      <w:pPr>
        <w:spacing w:after="0" w:line="240" w:lineRule="auto"/>
        <w:rPr>
          <w:rFonts w:ascii="Arial" w:hAnsi="Arial" w:cs="Arial"/>
          <w:sz w:val="24"/>
          <w:szCs w:val="24"/>
        </w:rPr>
      </w:pPr>
    </w:p>
    <w:p w14:paraId="6DBAD918" w14:textId="02AE811A" w:rsidR="00AE649E" w:rsidRPr="00E86011" w:rsidRDefault="00E86011" w:rsidP="008778FE">
      <w:pPr>
        <w:spacing w:after="0" w:line="240" w:lineRule="auto"/>
        <w:rPr>
          <w:rFonts w:ascii="Arial" w:hAnsi="Arial" w:cs="Arial"/>
          <w:b/>
          <w:bCs/>
          <w:i/>
          <w:iCs/>
          <w:sz w:val="24"/>
          <w:szCs w:val="24"/>
        </w:rPr>
      </w:pPr>
      <w:r w:rsidRPr="00E86011">
        <w:rPr>
          <w:rFonts w:ascii="Arial" w:hAnsi="Arial" w:cs="Arial"/>
          <w:b/>
          <w:bCs/>
          <w:i/>
          <w:iCs/>
          <w:sz w:val="24"/>
          <w:szCs w:val="24"/>
        </w:rPr>
        <w:t>Project Delivery</w:t>
      </w:r>
    </w:p>
    <w:p w14:paraId="34274CCE" w14:textId="403646A2" w:rsidR="00AE649E" w:rsidRPr="008778FE" w:rsidRDefault="000F49A1" w:rsidP="008778FE">
      <w:pPr>
        <w:spacing w:after="0" w:line="240" w:lineRule="auto"/>
        <w:rPr>
          <w:rFonts w:ascii="Arial" w:hAnsi="Arial" w:cs="Arial"/>
          <w:sz w:val="24"/>
          <w:szCs w:val="24"/>
        </w:rPr>
      </w:pPr>
      <w:r w:rsidRPr="008778FE">
        <w:rPr>
          <w:rFonts w:ascii="Arial" w:hAnsi="Arial" w:cs="Arial"/>
          <w:sz w:val="24"/>
          <w:szCs w:val="24"/>
        </w:rPr>
        <w:t>GREEN COMMUNITIES</w:t>
      </w:r>
      <w:r w:rsidR="00AE649E" w:rsidRPr="008778FE">
        <w:rPr>
          <w:rFonts w:ascii="Arial" w:hAnsi="Arial" w:cs="Arial"/>
          <w:sz w:val="24"/>
          <w:szCs w:val="24"/>
        </w:rPr>
        <w:t xml:space="preserve"> funding can be awarded in two ways: </w:t>
      </w:r>
    </w:p>
    <w:p w14:paraId="62BA41A4" w14:textId="77777777" w:rsidR="00AE649E" w:rsidRPr="008778FE" w:rsidRDefault="00AE649E" w:rsidP="008778FE">
      <w:pPr>
        <w:spacing w:after="0" w:line="240" w:lineRule="auto"/>
        <w:rPr>
          <w:rFonts w:ascii="Arial" w:hAnsi="Arial" w:cs="Arial"/>
          <w:sz w:val="24"/>
          <w:szCs w:val="24"/>
        </w:rPr>
      </w:pPr>
    </w:p>
    <w:p w14:paraId="1E75235F" w14:textId="77777777" w:rsidR="00AE649E" w:rsidRPr="008778FE" w:rsidRDefault="00AE649E" w:rsidP="008778FE">
      <w:pPr>
        <w:spacing w:after="0" w:line="240" w:lineRule="auto"/>
        <w:ind w:left="720"/>
        <w:rPr>
          <w:rFonts w:ascii="Arial" w:hAnsi="Arial" w:cs="Arial"/>
          <w:sz w:val="24"/>
          <w:szCs w:val="24"/>
        </w:rPr>
      </w:pPr>
      <w:r w:rsidRPr="008778FE">
        <w:rPr>
          <w:rFonts w:ascii="Arial" w:hAnsi="Arial" w:cs="Arial"/>
          <w:sz w:val="24"/>
          <w:szCs w:val="24"/>
        </w:rPr>
        <w:t xml:space="preserve">(a)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Direct Project Expenditure, or </w:t>
      </w:r>
    </w:p>
    <w:p w14:paraId="76D77779" w14:textId="30EF46B8" w:rsidR="00AE649E" w:rsidRDefault="00AE649E" w:rsidP="00FF1B38">
      <w:pPr>
        <w:spacing w:after="0" w:line="240" w:lineRule="auto"/>
        <w:ind w:left="720"/>
        <w:rPr>
          <w:rFonts w:ascii="Arial" w:hAnsi="Arial" w:cs="Arial"/>
          <w:sz w:val="24"/>
          <w:szCs w:val="24"/>
        </w:rPr>
      </w:pPr>
      <w:r w:rsidRPr="008778FE">
        <w:rPr>
          <w:rFonts w:ascii="Arial" w:hAnsi="Arial" w:cs="Arial"/>
          <w:sz w:val="24"/>
          <w:szCs w:val="24"/>
        </w:rPr>
        <w:t>(b) Grant</w:t>
      </w:r>
    </w:p>
    <w:p w14:paraId="6678D848" w14:textId="77777777" w:rsidR="00FF1B38" w:rsidRPr="008778FE" w:rsidRDefault="00FF1B38" w:rsidP="00FF1B38">
      <w:pPr>
        <w:spacing w:after="0" w:line="240" w:lineRule="auto"/>
        <w:ind w:left="720"/>
        <w:rPr>
          <w:rFonts w:ascii="Arial" w:hAnsi="Arial" w:cs="Arial"/>
          <w:sz w:val="24"/>
          <w:szCs w:val="24"/>
        </w:rPr>
      </w:pPr>
    </w:p>
    <w:p w14:paraId="430F5B36" w14:textId="77777777" w:rsidR="00AE649E" w:rsidRPr="008778FE" w:rsidRDefault="00AE649E" w:rsidP="008778FE">
      <w:pPr>
        <w:pStyle w:val="ListParagraph"/>
        <w:numPr>
          <w:ilvl w:val="0"/>
          <w:numId w:val="15"/>
        </w:numPr>
        <w:spacing w:after="0" w:line="240" w:lineRule="auto"/>
        <w:contextualSpacing w:val="0"/>
        <w:rPr>
          <w:rFonts w:ascii="Arial" w:hAnsi="Arial" w:cs="Arial"/>
          <w:b/>
          <w:bCs/>
          <w:i/>
          <w:iCs/>
          <w:sz w:val="24"/>
          <w:szCs w:val="24"/>
          <w:u w:val="single"/>
        </w:rPr>
      </w:pPr>
      <w:proofErr w:type="spellStart"/>
      <w:r w:rsidRPr="008778FE">
        <w:rPr>
          <w:rFonts w:ascii="Arial" w:hAnsi="Arial" w:cs="Arial"/>
          <w:b/>
          <w:bCs/>
          <w:i/>
          <w:iCs/>
          <w:sz w:val="24"/>
          <w:szCs w:val="24"/>
          <w:u w:val="single"/>
        </w:rPr>
        <w:t>Cadwyn</w:t>
      </w:r>
      <w:proofErr w:type="spellEnd"/>
      <w:r w:rsidRPr="008778FE">
        <w:rPr>
          <w:rFonts w:ascii="Arial" w:hAnsi="Arial" w:cs="Arial"/>
          <w:b/>
          <w:bCs/>
          <w:i/>
          <w:iCs/>
          <w:sz w:val="24"/>
          <w:szCs w:val="24"/>
          <w:u w:val="single"/>
        </w:rPr>
        <w:t xml:space="preserve"> Direct Project Expenditure</w:t>
      </w:r>
    </w:p>
    <w:p w14:paraId="3F2B0301" w14:textId="77777777" w:rsidR="00AE649E" w:rsidRPr="008778FE" w:rsidRDefault="00AE649E" w:rsidP="008778FE">
      <w:pPr>
        <w:spacing w:after="0" w:line="240" w:lineRule="auto"/>
        <w:rPr>
          <w:rFonts w:ascii="Arial" w:hAnsi="Arial" w:cs="Arial"/>
          <w:sz w:val="24"/>
          <w:szCs w:val="24"/>
        </w:rPr>
      </w:pPr>
      <w:r w:rsidRPr="008778FE">
        <w:rPr>
          <w:rFonts w:ascii="Arial" w:hAnsi="Arial" w:cs="Arial"/>
          <w:sz w:val="24"/>
          <w:szCs w:val="24"/>
        </w:rPr>
        <w:t xml:space="preserve">Under this process, the cash match funding for the project is paid to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and then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commissions goods and services for the project directly.  The applicant is not required to have the cash flow to support all the project expenditure upfront.</w:t>
      </w:r>
    </w:p>
    <w:p w14:paraId="701F15C7" w14:textId="77777777" w:rsidR="00AE649E" w:rsidRPr="008778FE" w:rsidRDefault="00AE649E" w:rsidP="008778FE">
      <w:pPr>
        <w:spacing w:after="0" w:line="240" w:lineRule="auto"/>
        <w:rPr>
          <w:rFonts w:ascii="Arial" w:hAnsi="Arial" w:cs="Arial"/>
          <w:sz w:val="24"/>
          <w:szCs w:val="24"/>
        </w:rPr>
      </w:pPr>
    </w:p>
    <w:p w14:paraId="73935A04" w14:textId="1791A42E" w:rsidR="00AE649E" w:rsidRPr="008778FE" w:rsidRDefault="00AE649E" w:rsidP="008778FE">
      <w:pPr>
        <w:spacing w:after="0" w:line="240" w:lineRule="auto"/>
        <w:rPr>
          <w:rFonts w:ascii="Arial" w:hAnsi="Arial" w:cs="Arial"/>
          <w:sz w:val="24"/>
          <w:szCs w:val="24"/>
        </w:rPr>
      </w:pPr>
      <w:r w:rsidRPr="008778FE">
        <w:rPr>
          <w:rFonts w:ascii="Arial" w:hAnsi="Arial" w:cs="Arial"/>
          <w:sz w:val="24"/>
          <w:szCs w:val="24"/>
        </w:rPr>
        <w:t xml:space="preserve">Quotations are gathered for project expenditure by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and the project team.  Quotes provided for project expenditure by parties other than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are subject to assessment by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to ensure value for money.</w:t>
      </w:r>
      <w:r w:rsidR="00BC37C3">
        <w:rPr>
          <w:rFonts w:ascii="Arial" w:hAnsi="Arial" w:cs="Arial"/>
          <w:sz w:val="24"/>
          <w:szCs w:val="24"/>
        </w:rPr>
        <w:t xml:space="preserve"> </w:t>
      </w:r>
      <w:r w:rsidRPr="008778FE">
        <w:rPr>
          <w:rFonts w:ascii="Arial" w:hAnsi="Arial" w:cs="Arial"/>
          <w:sz w:val="24"/>
          <w:szCs w:val="24"/>
        </w:rPr>
        <w:t xml:space="preserve">More quotes may be requested by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to </w:t>
      </w:r>
      <w:r w:rsidRPr="008778FE">
        <w:rPr>
          <w:rFonts w:ascii="Arial" w:hAnsi="Arial" w:cs="Arial"/>
          <w:sz w:val="24"/>
          <w:szCs w:val="24"/>
        </w:rPr>
        <w:lastRenderedPageBreak/>
        <w:t xml:space="preserve">ensure value for money.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will take the lowest price on like-for-like quotes and issue a Purchase Order to that supplier.  Where necessary, a scored procurement can be prepared.</w:t>
      </w:r>
    </w:p>
    <w:p w14:paraId="76F14CDA" w14:textId="77777777" w:rsidR="00AE649E" w:rsidRPr="008778FE" w:rsidRDefault="00AE649E" w:rsidP="008778FE">
      <w:pPr>
        <w:spacing w:after="0" w:line="240" w:lineRule="auto"/>
        <w:rPr>
          <w:rFonts w:ascii="Arial" w:hAnsi="Arial" w:cs="Arial"/>
          <w:sz w:val="24"/>
          <w:szCs w:val="24"/>
        </w:rPr>
      </w:pPr>
    </w:p>
    <w:p w14:paraId="221E3BB6" w14:textId="77777777" w:rsidR="00AE649E" w:rsidRPr="008778FE" w:rsidRDefault="00AE649E" w:rsidP="008778FE">
      <w:pPr>
        <w:spacing w:after="0" w:line="240" w:lineRule="auto"/>
        <w:rPr>
          <w:rFonts w:ascii="Arial" w:hAnsi="Arial" w:cs="Arial"/>
          <w:sz w:val="24"/>
          <w:szCs w:val="24"/>
        </w:rPr>
      </w:pP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will pay all suppliers directly for goods and services.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is responsible for issuing all Purchase Orders to suppliers relating to the project.  Any request for payment for goods or services made by anyone other than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will not be paid by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Expenditure may </w:t>
      </w:r>
      <w:r w:rsidRPr="008778FE">
        <w:rPr>
          <w:rFonts w:ascii="Arial" w:hAnsi="Arial" w:cs="Arial"/>
          <w:sz w:val="24"/>
          <w:szCs w:val="24"/>
          <w:u w:val="single"/>
        </w:rPr>
        <w:t>not</w:t>
      </w:r>
      <w:r w:rsidRPr="008778FE">
        <w:rPr>
          <w:rFonts w:ascii="Arial" w:hAnsi="Arial" w:cs="Arial"/>
          <w:sz w:val="24"/>
          <w:szCs w:val="24"/>
        </w:rPr>
        <w:t xml:space="preserve"> be incurred by third party organisations and claimed from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contracts directly with service providers and will pay suppliers directly up to the total cash project value approved by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is not able to pay for any work undertaken for which there is no Purchase Order, we cannot pay for any work that took place before a Purchase Order was issued, and we cannot pay an invoice for more than the figure stated in the Purchase Order corresponding to that work.</w:t>
      </w:r>
    </w:p>
    <w:p w14:paraId="7CE579F9" w14:textId="77777777" w:rsidR="00AE649E" w:rsidRPr="008778FE" w:rsidRDefault="00AE649E" w:rsidP="008778FE">
      <w:pPr>
        <w:spacing w:after="0" w:line="240" w:lineRule="auto"/>
        <w:rPr>
          <w:rFonts w:ascii="Arial" w:hAnsi="Arial" w:cs="Arial"/>
          <w:sz w:val="24"/>
          <w:szCs w:val="24"/>
        </w:rPr>
      </w:pPr>
    </w:p>
    <w:p w14:paraId="0A8542E4" w14:textId="49543C25" w:rsidR="00AE649E" w:rsidRPr="008778FE" w:rsidRDefault="00AE649E" w:rsidP="008778FE">
      <w:pPr>
        <w:pStyle w:val="ListParagraph"/>
        <w:numPr>
          <w:ilvl w:val="0"/>
          <w:numId w:val="15"/>
        </w:numPr>
        <w:spacing w:after="0" w:line="240" w:lineRule="auto"/>
        <w:contextualSpacing w:val="0"/>
        <w:rPr>
          <w:rFonts w:ascii="Arial" w:hAnsi="Arial" w:cs="Arial"/>
          <w:b/>
          <w:bCs/>
          <w:i/>
          <w:iCs/>
          <w:sz w:val="24"/>
          <w:szCs w:val="24"/>
          <w:u w:val="single"/>
        </w:rPr>
      </w:pPr>
      <w:r w:rsidRPr="008778FE">
        <w:rPr>
          <w:rFonts w:ascii="Arial" w:hAnsi="Arial" w:cs="Arial"/>
          <w:b/>
          <w:bCs/>
          <w:i/>
          <w:iCs/>
          <w:sz w:val="24"/>
          <w:szCs w:val="24"/>
          <w:u w:val="single"/>
        </w:rPr>
        <w:t>Grant</w:t>
      </w:r>
    </w:p>
    <w:p w14:paraId="3563DB01" w14:textId="77777777" w:rsidR="00AE649E" w:rsidRPr="008778FE" w:rsidRDefault="00AE649E" w:rsidP="008778FE">
      <w:pPr>
        <w:spacing w:after="0" w:line="240" w:lineRule="auto"/>
        <w:rPr>
          <w:rFonts w:ascii="Arial" w:hAnsi="Arial" w:cs="Arial"/>
          <w:sz w:val="24"/>
          <w:szCs w:val="24"/>
        </w:rPr>
      </w:pPr>
      <w:r w:rsidRPr="008778FE">
        <w:rPr>
          <w:rFonts w:ascii="Arial" w:hAnsi="Arial" w:cs="Arial"/>
          <w:sz w:val="24"/>
          <w:szCs w:val="24"/>
        </w:rPr>
        <w:t xml:space="preserve">Under this process, the applicant will pay all suppliers directly and then reclaim the agreed amounts (as set-out in the approved application form) from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using a provided Grant Claim Form.  The claim form will be provided to successful grant applicants once the project has been approved.  The applicant will need to be aware of the following requirements when claiming funding from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w:t>
      </w:r>
    </w:p>
    <w:p w14:paraId="52D5755A" w14:textId="77777777" w:rsidR="00AE649E" w:rsidRPr="008778FE" w:rsidRDefault="00AE649E" w:rsidP="008778FE">
      <w:pPr>
        <w:spacing w:after="0" w:line="240" w:lineRule="auto"/>
        <w:rPr>
          <w:rFonts w:ascii="Arial" w:hAnsi="Arial" w:cs="Arial"/>
          <w:sz w:val="24"/>
          <w:szCs w:val="24"/>
        </w:rPr>
      </w:pPr>
    </w:p>
    <w:p w14:paraId="6203DC2E" w14:textId="77777777" w:rsidR="00AE649E" w:rsidRPr="008778FE" w:rsidRDefault="00AE649E" w:rsidP="008778FE">
      <w:pPr>
        <w:spacing w:after="0" w:line="240" w:lineRule="auto"/>
        <w:rPr>
          <w:rFonts w:ascii="Arial" w:hAnsi="Arial" w:cs="Arial"/>
          <w:sz w:val="24"/>
          <w:szCs w:val="24"/>
        </w:rPr>
      </w:pPr>
      <w:r w:rsidRPr="008778FE">
        <w:rPr>
          <w:rFonts w:ascii="Arial" w:hAnsi="Arial" w:cs="Arial"/>
          <w:b/>
          <w:sz w:val="24"/>
          <w:szCs w:val="24"/>
        </w:rPr>
        <w:t xml:space="preserve">VAT (Value Added Tax):  </w:t>
      </w:r>
      <w:r w:rsidRPr="008778FE">
        <w:rPr>
          <w:rFonts w:ascii="Arial" w:hAnsi="Arial" w:cs="Arial"/>
          <w:sz w:val="24"/>
          <w:szCs w:val="24"/>
        </w:rPr>
        <w:t xml:space="preserve">It is only irrecoverable VAT that can be claimed via EU funds.  If the applicant organisation is able to recover VAT from HMRC, then they would not be able to include this in their claim to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and all costs claimed must be net of VAT.  However, if the applicant organisation cannot recover VAT, they will be able to reclaim this from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but they will need to provide a formal statement explaining why their organisation cannot recover VAT.</w:t>
      </w:r>
    </w:p>
    <w:p w14:paraId="4922AC6C" w14:textId="77777777" w:rsidR="00AE649E" w:rsidRPr="008778FE" w:rsidRDefault="00AE649E" w:rsidP="008778FE">
      <w:pPr>
        <w:spacing w:after="0" w:line="240" w:lineRule="auto"/>
        <w:rPr>
          <w:rFonts w:ascii="Arial" w:hAnsi="Arial" w:cs="Arial"/>
          <w:sz w:val="24"/>
          <w:szCs w:val="24"/>
        </w:rPr>
      </w:pPr>
    </w:p>
    <w:p w14:paraId="523D91A9" w14:textId="77777777" w:rsidR="00AE649E" w:rsidRPr="008778FE" w:rsidRDefault="00AE649E" w:rsidP="008778FE">
      <w:pPr>
        <w:spacing w:after="0" w:line="240" w:lineRule="auto"/>
        <w:rPr>
          <w:rFonts w:ascii="Arial" w:hAnsi="Arial" w:cs="Arial"/>
          <w:sz w:val="24"/>
          <w:szCs w:val="24"/>
        </w:rPr>
      </w:pPr>
      <w:r w:rsidRPr="008778FE">
        <w:rPr>
          <w:rFonts w:ascii="Arial" w:hAnsi="Arial" w:cs="Arial"/>
          <w:b/>
          <w:sz w:val="24"/>
          <w:szCs w:val="24"/>
        </w:rPr>
        <w:t>CRNs:</w:t>
      </w:r>
      <w:r w:rsidRPr="008778FE">
        <w:rPr>
          <w:rFonts w:ascii="Arial" w:hAnsi="Arial" w:cs="Arial"/>
          <w:sz w:val="24"/>
          <w:szCs w:val="24"/>
        </w:rPr>
        <w:t xml:space="preserve">  Every organisation claiming will need to clearly state on the Claim Form their CRN (Customer Reference Number) from the Welsh Government.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will be able to assist organisations that do not already have a CRN. </w:t>
      </w:r>
    </w:p>
    <w:p w14:paraId="1F09E5DA" w14:textId="77777777" w:rsidR="00AE649E" w:rsidRPr="008778FE" w:rsidRDefault="00AE649E" w:rsidP="008778FE">
      <w:pPr>
        <w:spacing w:after="0" w:line="240" w:lineRule="auto"/>
        <w:rPr>
          <w:rFonts w:ascii="Arial" w:hAnsi="Arial" w:cs="Arial"/>
          <w:sz w:val="24"/>
          <w:szCs w:val="24"/>
        </w:rPr>
      </w:pPr>
    </w:p>
    <w:p w14:paraId="3C71910D" w14:textId="77777777" w:rsidR="00AE649E" w:rsidRPr="008778FE" w:rsidRDefault="00AE649E" w:rsidP="008778FE">
      <w:pPr>
        <w:spacing w:after="0" w:line="240" w:lineRule="auto"/>
        <w:rPr>
          <w:rFonts w:ascii="Arial" w:hAnsi="Arial" w:cs="Arial"/>
          <w:sz w:val="24"/>
          <w:szCs w:val="24"/>
        </w:rPr>
      </w:pPr>
      <w:r w:rsidRPr="008778FE">
        <w:rPr>
          <w:rFonts w:ascii="Arial" w:hAnsi="Arial" w:cs="Arial"/>
          <w:sz w:val="24"/>
          <w:szCs w:val="24"/>
        </w:rPr>
        <w:t xml:space="preserve">Original invoices and bank statements will need to be retained in the applicant organisation until at least 31st December 2028, or until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advises that they can be disposed of.  This is to ensure that the original invoices are available to be viewed by auditors where required and to comply with EU document retention requirements.</w:t>
      </w:r>
    </w:p>
    <w:p w14:paraId="720FDA57" w14:textId="77777777" w:rsidR="00011F20" w:rsidRDefault="00AE649E" w:rsidP="008778FE">
      <w:pPr>
        <w:pStyle w:val="ListParagraph"/>
        <w:spacing w:after="0" w:line="240" w:lineRule="auto"/>
        <w:ind w:left="0"/>
        <w:rPr>
          <w:rFonts w:ascii="Arial" w:hAnsi="Arial" w:cs="Arial"/>
          <w:b/>
          <w:sz w:val="24"/>
          <w:szCs w:val="24"/>
        </w:rPr>
      </w:pPr>
      <w:r w:rsidRPr="008778FE">
        <w:rPr>
          <w:rFonts w:ascii="Arial" w:hAnsi="Arial" w:cs="Arial"/>
          <w:b/>
          <w:sz w:val="24"/>
          <w:szCs w:val="24"/>
        </w:rPr>
        <w:t xml:space="preserve"> </w:t>
      </w:r>
    </w:p>
    <w:p w14:paraId="3875504B" w14:textId="77777777" w:rsidR="00011F20" w:rsidRDefault="00011F20" w:rsidP="008778FE">
      <w:pPr>
        <w:pStyle w:val="ListParagraph"/>
        <w:spacing w:after="0" w:line="240" w:lineRule="auto"/>
        <w:ind w:left="0"/>
        <w:rPr>
          <w:rFonts w:ascii="Arial" w:hAnsi="Arial" w:cs="Arial"/>
          <w:b/>
          <w:sz w:val="24"/>
          <w:szCs w:val="24"/>
        </w:rPr>
      </w:pPr>
    </w:p>
    <w:p w14:paraId="4DDF9B30" w14:textId="7B9B692E" w:rsidR="00AE649E" w:rsidRPr="00E86011" w:rsidRDefault="00AE649E" w:rsidP="008778FE">
      <w:pPr>
        <w:pStyle w:val="ListParagraph"/>
        <w:spacing w:after="0" w:line="240" w:lineRule="auto"/>
        <w:ind w:left="0"/>
        <w:rPr>
          <w:rFonts w:ascii="Arial" w:hAnsi="Arial" w:cs="Arial"/>
          <w:b/>
          <w:i/>
          <w:iCs/>
          <w:sz w:val="24"/>
          <w:szCs w:val="24"/>
        </w:rPr>
      </w:pPr>
      <w:r w:rsidRPr="00011F20">
        <w:rPr>
          <w:rFonts w:ascii="Arial" w:hAnsi="Arial" w:cs="Arial"/>
          <w:b/>
          <w:i/>
          <w:iCs/>
          <w:sz w:val="24"/>
          <w:szCs w:val="24"/>
        </w:rPr>
        <w:t>Publicity</w:t>
      </w:r>
    </w:p>
    <w:p w14:paraId="4E668B43" w14:textId="57E41E8C" w:rsidR="00AE649E" w:rsidRDefault="00AE649E" w:rsidP="00011F20">
      <w:pPr>
        <w:spacing w:after="0" w:line="240" w:lineRule="auto"/>
        <w:rPr>
          <w:rFonts w:ascii="Arial" w:hAnsi="Arial" w:cs="Arial"/>
          <w:sz w:val="24"/>
          <w:szCs w:val="24"/>
        </w:rPr>
      </w:pPr>
      <w:r w:rsidRPr="008778FE">
        <w:rPr>
          <w:rFonts w:ascii="Arial" w:hAnsi="Arial" w:cs="Arial"/>
          <w:sz w:val="24"/>
          <w:szCs w:val="24"/>
        </w:rPr>
        <w:t xml:space="preserve">Projects must comply with European Commission and Welsh Government publicity requirements.  All projects should publicise the support received when communicating the project to beneficiaries and / or the general </w:t>
      </w:r>
      <w:proofErr w:type="spellStart"/>
      <w:r w:rsidRPr="008778FE">
        <w:rPr>
          <w:rFonts w:ascii="Arial" w:hAnsi="Arial" w:cs="Arial"/>
          <w:sz w:val="24"/>
          <w:szCs w:val="24"/>
        </w:rPr>
        <w:t>public.</w:t>
      </w:r>
      <w:r w:rsidR="00011F20">
        <w:rPr>
          <w:rFonts w:ascii="Arial" w:hAnsi="Arial" w:cs="Arial"/>
          <w:sz w:val="24"/>
          <w:szCs w:val="24"/>
        </w:rPr>
        <w:t>A</w:t>
      </w:r>
      <w:proofErr w:type="spellEnd"/>
      <w:r w:rsidR="00CB1B2D">
        <w:rPr>
          <w:rFonts w:ascii="Arial" w:hAnsi="Arial" w:cs="Arial"/>
          <w:sz w:val="24"/>
          <w:szCs w:val="24"/>
        </w:rPr>
        <w:t xml:space="preserve"> </w:t>
      </w:r>
      <w:proofErr w:type="spellStart"/>
      <w:r w:rsidRPr="008778FE">
        <w:rPr>
          <w:rFonts w:ascii="Arial" w:hAnsi="Arial" w:cs="Arial"/>
          <w:sz w:val="24"/>
          <w:szCs w:val="24"/>
        </w:rPr>
        <w:t>ll</w:t>
      </w:r>
      <w:proofErr w:type="spellEnd"/>
      <w:r w:rsidRPr="008778FE">
        <w:rPr>
          <w:rFonts w:ascii="Arial" w:hAnsi="Arial" w:cs="Arial"/>
          <w:sz w:val="24"/>
          <w:szCs w:val="24"/>
        </w:rPr>
        <w:t xml:space="preserve"> printed and digital materials for public consumption must be fully bilingual (Welsh-English), with the Welsh appearing before the English.</w:t>
      </w:r>
      <w:r w:rsidR="00011F20">
        <w:rPr>
          <w:rFonts w:ascii="Arial" w:hAnsi="Arial" w:cs="Arial"/>
          <w:sz w:val="24"/>
          <w:szCs w:val="24"/>
        </w:rPr>
        <w:t xml:space="preserve"> </w:t>
      </w:r>
      <w:r w:rsidRPr="003837EF">
        <w:rPr>
          <w:rFonts w:ascii="Arial" w:hAnsi="Arial" w:cs="Arial"/>
          <w:sz w:val="24"/>
          <w:szCs w:val="24"/>
        </w:rPr>
        <w:t xml:space="preserve">There are </w:t>
      </w:r>
      <w:r w:rsidR="00A056F1">
        <w:rPr>
          <w:rFonts w:ascii="Arial" w:hAnsi="Arial" w:cs="Arial"/>
          <w:sz w:val="24"/>
          <w:szCs w:val="24"/>
        </w:rPr>
        <w:t>3</w:t>
      </w:r>
      <w:r w:rsidRPr="003837EF">
        <w:rPr>
          <w:rFonts w:ascii="Arial" w:hAnsi="Arial" w:cs="Arial"/>
          <w:sz w:val="24"/>
          <w:szCs w:val="24"/>
        </w:rPr>
        <w:t xml:space="preserve"> funding logos and they have to be present on all items financially supported by the project:</w:t>
      </w:r>
    </w:p>
    <w:p w14:paraId="163E27D4" w14:textId="77777777" w:rsidR="00F71575" w:rsidRPr="008778FE" w:rsidRDefault="00F71575" w:rsidP="00011F20">
      <w:pPr>
        <w:spacing w:after="0" w:line="240" w:lineRule="auto"/>
        <w:rPr>
          <w:rFonts w:ascii="Arial" w:hAnsi="Arial" w:cs="Arial"/>
          <w:sz w:val="24"/>
          <w:szCs w:val="24"/>
        </w:rPr>
      </w:pPr>
    </w:p>
    <w:p w14:paraId="4EF9631A" w14:textId="4986F988" w:rsidR="00AE649E" w:rsidRPr="008778FE" w:rsidRDefault="004C31EA" w:rsidP="008778FE">
      <w:pPr>
        <w:pStyle w:val="PlainText"/>
        <w:jc w:val="center"/>
        <w:rPr>
          <w:rFonts w:ascii="Arial" w:hAnsi="Arial" w:cs="Arial"/>
          <w:sz w:val="24"/>
          <w:szCs w:val="24"/>
        </w:rPr>
      </w:pPr>
      <w:r>
        <w:rPr>
          <w:rFonts w:ascii="Arial" w:hAnsi="Arial" w:cs="Arial"/>
          <w:b/>
          <w:noProof/>
          <w:sz w:val="24"/>
          <w:szCs w:val="24"/>
          <w:u w:val="single"/>
        </w:rPr>
        <w:drawing>
          <wp:anchor distT="0" distB="0" distL="114300" distR="114300" simplePos="0" relativeHeight="251658240" behindDoc="1" locked="0" layoutInCell="1" allowOverlap="1" wp14:anchorId="2DDE3323" wp14:editId="2D5A9097">
            <wp:simplePos x="0" y="0"/>
            <wp:positionH relativeFrom="column">
              <wp:posOffset>328295</wp:posOffset>
            </wp:positionH>
            <wp:positionV relativeFrom="paragraph">
              <wp:posOffset>114935</wp:posOffset>
            </wp:positionV>
            <wp:extent cx="5838190" cy="1242060"/>
            <wp:effectExtent l="0" t="0" r="0" b="0"/>
            <wp:wrapTight wrapText="bothSides">
              <wp:wrapPolygon edited="0">
                <wp:start x="0" y="0"/>
                <wp:lineTo x="0" y="21202"/>
                <wp:lineTo x="21497" y="21202"/>
                <wp:lineTo x="21497"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838190" cy="1242060"/>
                    </a:xfrm>
                    <a:prstGeom prst="rect">
                      <a:avLst/>
                    </a:prstGeom>
                  </pic:spPr>
                </pic:pic>
              </a:graphicData>
            </a:graphic>
            <wp14:sizeRelH relativeFrom="margin">
              <wp14:pctWidth>0</wp14:pctWidth>
            </wp14:sizeRelH>
            <wp14:sizeRelV relativeFrom="margin">
              <wp14:pctHeight>0</wp14:pctHeight>
            </wp14:sizeRelV>
          </wp:anchor>
        </w:drawing>
      </w:r>
    </w:p>
    <w:p w14:paraId="3DE1D558" w14:textId="366E88E8" w:rsidR="00713488" w:rsidRDefault="00713488" w:rsidP="00713488">
      <w:r>
        <w:rPr>
          <w:rFonts w:ascii="Arial" w:hAnsi="Arial" w:cs="Arial"/>
          <w:b/>
          <w:noProof/>
          <w:sz w:val="24"/>
          <w:szCs w:val="24"/>
          <w:lang w:eastAsia="en-GB"/>
        </w:rPr>
        <w:t xml:space="preserve">                  </w:t>
      </w:r>
    </w:p>
    <w:p w14:paraId="6CE7F819" w14:textId="77777777" w:rsidR="00AE649E" w:rsidRPr="008778FE" w:rsidRDefault="00AE649E" w:rsidP="008778FE">
      <w:pPr>
        <w:pStyle w:val="PlainText"/>
        <w:rPr>
          <w:rFonts w:ascii="Arial" w:hAnsi="Arial" w:cs="Arial"/>
          <w:sz w:val="24"/>
          <w:szCs w:val="24"/>
        </w:rPr>
      </w:pPr>
    </w:p>
    <w:p w14:paraId="41665942" w14:textId="77777777" w:rsidR="00AE649E" w:rsidRPr="008778FE" w:rsidRDefault="00AE649E" w:rsidP="008778FE">
      <w:pPr>
        <w:pStyle w:val="PlainText"/>
        <w:rPr>
          <w:rFonts w:ascii="Arial" w:hAnsi="Arial" w:cs="Arial"/>
          <w:sz w:val="24"/>
          <w:szCs w:val="24"/>
        </w:rPr>
      </w:pPr>
    </w:p>
    <w:p w14:paraId="173070A1" w14:textId="77777777" w:rsidR="00F71575" w:rsidRDefault="00F71575" w:rsidP="008778FE">
      <w:pPr>
        <w:spacing w:after="0" w:line="240" w:lineRule="auto"/>
        <w:rPr>
          <w:rFonts w:ascii="Arial" w:hAnsi="Arial" w:cs="Arial"/>
          <w:bCs/>
          <w:i/>
          <w:iCs/>
          <w:sz w:val="24"/>
          <w:szCs w:val="24"/>
        </w:rPr>
      </w:pPr>
    </w:p>
    <w:p w14:paraId="7911F014" w14:textId="77777777" w:rsidR="00F71575" w:rsidRDefault="00F71575" w:rsidP="008778FE">
      <w:pPr>
        <w:spacing w:after="0" w:line="240" w:lineRule="auto"/>
        <w:rPr>
          <w:rFonts w:ascii="Arial" w:hAnsi="Arial" w:cs="Arial"/>
          <w:bCs/>
          <w:i/>
          <w:iCs/>
          <w:sz w:val="24"/>
          <w:szCs w:val="24"/>
        </w:rPr>
      </w:pPr>
    </w:p>
    <w:p w14:paraId="29F763D5" w14:textId="77777777" w:rsidR="00F71575" w:rsidRDefault="00F71575" w:rsidP="008778FE">
      <w:pPr>
        <w:spacing w:after="0" w:line="240" w:lineRule="auto"/>
        <w:rPr>
          <w:rFonts w:ascii="Arial" w:hAnsi="Arial" w:cs="Arial"/>
          <w:bCs/>
          <w:i/>
          <w:iCs/>
          <w:sz w:val="24"/>
          <w:szCs w:val="24"/>
        </w:rPr>
      </w:pPr>
    </w:p>
    <w:p w14:paraId="1135C130" w14:textId="4473A7F9" w:rsidR="00F71575" w:rsidRDefault="00F71575" w:rsidP="008778FE">
      <w:pPr>
        <w:spacing w:after="0" w:line="240" w:lineRule="auto"/>
        <w:rPr>
          <w:rFonts w:ascii="Arial" w:hAnsi="Arial" w:cs="Arial"/>
          <w:bCs/>
          <w:i/>
          <w:iCs/>
          <w:sz w:val="24"/>
          <w:szCs w:val="24"/>
        </w:rPr>
      </w:pPr>
    </w:p>
    <w:p w14:paraId="23FFC2A4" w14:textId="70118ADD" w:rsidR="004C31EA" w:rsidRDefault="004C31EA" w:rsidP="008778FE">
      <w:pPr>
        <w:spacing w:after="0" w:line="240" w:lineRule="auto"/>
        <w:rPr>
          <w:rFonts w:ascii="Arial" w:hAnsi="Arial" w:cs="Arial"/>
          <w:bCs/>
          <w:i/>
          <w:iCs/>
          <w:sz w:val="24"/>
          <w:szCs w:val="24"/>
        </w:rPr>
      </w:pPr>
    </w:p>
    <w:p w14:paraId="6C0928A8" w14:textId="77777777" w:rsidR="004C31EA" w:rsidRDefault="004C31EA" w:rsidP="008778FE">
      <w:pPr>
        <w:spacing w:after="0" w:line="240" w:lineRule="auto"/>
        <w:rPr>
          <w:rFonts w:ascii="Arial" w:hAnsi="Arial" w:cs="Arial"/>
          <w:bCs/>
          <w:i/>
          <w:iCs/>
          <w:sz w:val="24"/>
          <w:szCs w:val="24"/>
        </w:rPr>
      </w:pPr>
    </w:p>
    <w:p w14:paraId="7333D93A" w14:textId="12BDAA2A" w:rsidR="00F6557B" w:rsidRDefault="00F6557B" w:rsidP="008778FE">
      <w:pPr>
        <w:spacing w:after="0" w:line="240" w:lineRule="auto"/>
        <w:rPr>
          <w:rFonts w:ascii="Arial" w:hAnsi="Arial" w:cs="Arial"/>
          <w:bCs/>
          <w:i/>
          <w:iCs/>
          <w:sz w:val="24"/>
          <w:szCs w:val="24"/>
        </w:rPr>
      </w:pPr>
      <w:r>
        <w:rPr>
          <w:rFonts w:ascii="Arial" w:hAnsi="Arial" w:cs="Arial"/>
          <w:bCs/>
          <w:i/>
          <w:iCs/>
          <w:sz w:val="24"/>
          <w:szCs w:val="24"/>
        </w:rPr>
        <w:lastRenderedPageBreak/>
        <w:t>The following strapline must be included on all communication material:</w:t>
      </w:r>
    </w:p>
    <w:p w14:paraId="187E065A" w14:textId="77777777" w:rsidR="00AE649E" w:rsidRPr="008778FE" w:rsidRDefault="00AE649E" w:rsidP="008778FE">
      <w:pPr>
        <w:spacing w:after="0" w:line="240" w:lineRule="auto"/>
        <w:rPr>
          <w:rFonts w:ascii="Arial" w:hAnsi="Arial" w:cs="Arial"/>
          <w:sz w:val="24"/>
          <w:szCs w:val="24"/>
        </w:rPr>
      </w:pPr>
    </w:p>
    <w:p w14:paraId="35C67387" w14:textId="77777777" w:rsidR="00AE649E" w:rsidRPr="008778FE" w:rsidRDefault="00AE649E" w:rsidP="008778FE">
      <w:pPr>
        <w:spacing w:after="0" w:line="240" w:lineRule="auto"/>
        <w:ind w:left="720"/>
        <w:rPr>
          <w:rFonts w:ascii="Arial" w:hAnsi="Arial" w:cs="Arial"/>
          <w:b/>
          <w:i/>
          <w:iCs/>
          <w:sz w:val="24"/>
          <w:szCs w:val="24"/>
          <w:lang w:val="en-US"/>
        </w:rPr>
      </w:pPr>
      <w:r w:rsidRPr="008778FE">
        <w:rPr>
          <w:rFonts w:ascii="Arial" w:hAnsi="Arial" w:cs="Arial"/>
          <w:b/>
          <w:i/>
          <w:iCs/>
          <w:sz w:val="24"/>
          <w:szCs w:val="24"/>
          <w:lang w:val="en-US"/>
        </w:rPr>
        <w:t>English</w:t>
      </w:r>
    </w:p>
    <w:p w14:paraId="194ACACD" w14:textId="77777777" w:rsidR="00AE649E" w:rsidRPr="008778FE" w:rsidRDefault="00AE649E" w:rsidP="008778FE">
      <w:pPr>
        <w:spacing w:after="0" w:line="240" w:lineRule="auto"/>
        <w:ind w:left="720"/>
        <w:rPr>
          <w:rFonts w:ascii="Arial" w:hAnsi="Arial" w:cs="Arial"/>
          <w:i/>
          <w:iCs/>
          <w:sz w:val="24"/>
          <w:szCs w:val="24"/>
          <w:lang w:val="en-US"/>
        </w:rPr>
      </w:pPr>
      <w:r w:rsidRPr="008778FE">
        <w:rPr>
          <w:rFonts w:ascii="Arial" w:hAnsi="Arial" w:cs="Arial"/>
          <w:i/>
          <w:iCs/>
          <w:sz w:val="24"/>
          <w:szCs w:val="24"/>
          <w:lang w:val="en-US"/>
        </w:rPr>
        <w:t xml:space="preserve">This project has received funding through the Welsh Government Rural Communities - Rural Development </w:t>
      </w:r>
      <w:proofErr w:type="spellStart"/>
      <w:r w:rsidRPr="008778FE">
        <w:rPr>
          <w:rFonts w:ascii="Arial" w:hAnsi="Arial" w:cs="Arial"/>
          <w:i/>
          <w:iCs/>
          <w:sz w:val="24"/>
          <w:szCs w:val="24"/>
          <w:lang w:val="en-US"/>
        </w:rPr>
        <w:t>Programme</w:t>
      </w:r>
      <w:proofErr w:type="spellEnd"/>
      <w:r w:rsidRPr="008778FE">
        <w:rPr>
          <w:rFonts w:ascii="Arial" w:hAnsi="Arial" w:cs="Arial"/>
          <w:i/>
          <w:iCs/>
          <w:sz w:val="24"/>
          <w:szCs w:val="24"/>
          <w:lang w:val="en-US"/>
        </w:rPr>
        <w:t xml:space="preserve"> 2014-2020, which is funded by the European Agricultural Fund for Rural Development and the Welsh Government.</w:t>
      </w:r>
    </w:p>
    <w:p w14:paraId="6552DC42" w14:textId="77777777" w:rsidR="00AE649E" w:rsidRPr="008778FE" w:rsidRDefault="00AE649E" w:rsidP="008778FE">
      <w:pPr>
        <w:spacing w:after="0" w:line="240" w:lineRule="auto"/>
        <w:ind w:left="720"/>
        <w:rPr>
          <w:rFonts w:ascii="Arial" w:hAnsi="Arial" w:cs="Arial"/>
          <w:i/>
          <w:iCs/>
          <w:sz w:val="24"/>
          <w:szCs w:val="24"/>
          <w:lang w:val="en-US"/>
        </w:rPr>
      </w:pPr>
    </w:p>
    <w:p w14:paraId="36D8BC40" w14:textId="77777777" w:rsidR="00AE649E" w:rsidRPr="008778FE" w:rsidRDefault="00AE649E" w:rsidP="008778FE">
      <w:pPr>
        <w:spacing w:after="0" w:line="240" w:lineRule="auto"/>
        <w:ind w:left="720"/>
        <w:rPr>
          <w:rFonts w:ascii="Arial" w:hAnsi="Arial" w:cs="Arial"/>
          <w:b/>
          <w:i/>
          <w:iCs/>
          <w:sz w:val="24"/>
          <w:szCs w:val="24"/>
          <w:lang w:val="en-US"/>
        </w:rPr>
      </w:pPr>
      <w:r w:rsidRPr="008778FE">
        <w:rPr>
          <w:rFonts w:ascii="Arial" w:hAnsi="Arial" w:cs="Arial"/>
          <w:b/>
          <w:i/>
          <w:iCs/>
          <w:sz w:val="24"/>
          <w:szCs w:val="24"/>
          <w:lang w:val="en-US"/>
        </w:rPr>
        <w:t>Welsh</w:t>
      </w:r>
    </w:p>
    <w:p w14:paraId="33BAA8C9" w14:textId="77777777" w:rsidR="00AE649E" w:rsidRPr="008778FE" w:rsidRDefault="00AE649E" w:rsidP="008778FE">
      <w:pPr>
        <w:spacing w:after="0" w:line="240" w:lineRule="auto"/>
        <w:ind w:left="720"/>
        <w:rPr>
          <w:rFonts w:ascii="Arial" w:hAnsi="Arial" w:cs="Arial"/>
          <w:i/>
          <w:iCs/>
          <w:sz w:val="24"/>
          <w:szCs w:val="24"/>
          <w:lang w:val="en-US"/>
        </w:rPr>
      </w:pPr>
      <w:proofErr w:type="spellStart"/>
      <w:r w:rsidRPr="008778FE">
        <w:rPr>
          <w:rFonts w:ascii="Arial" w:hAnsi="Arial" w:cs="Arial"/>
          <w:i/>
          <w:iCs/>
          <w:sz w:val="24"/>
          <w:szCs w:val="24"/>
          <w:lang w:val="en-US"/>
        </w:rPr>
        <w:t>Cyllidwyd</w:t>
      </w:r>
      <w:proofErr w:type="spellEnd"/>
      <w:r w:rsidRPr="008778FE">
        <w:rPr>
          <w:rFonts w:ascii="Arial" w:hAnsi="Arial" w:cs="Arial"/>
          <w:i/>
          <w:iCs/>
          <w:sz w:val="24"/>
          <w:szCs w:val="24"/>
          <w:lang w:val="en-US"/>
        </w:rPr>
        <w:t xml:space="preserve"> y </w:t>
      </w:r>
      <w:proofErr w:type="spellStart"/>
      <w:r w:rsidRPr="008778FE">
        <w:rPr>
          <w:rFonts w:ascii="Arial" w:hAnsi="Arial" w:cs="Arial"/>
          <w:i/>
          <w:iCs/>
          <w:sz w:val="24"/>
          <w:szCs w:val="24"/>
          <w:lang w:val="en-US"/>
        </w:rPr>
        <w:t>prosiect</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hwn</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drwy</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Cymunedau</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Gwledig</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Llywodraeth</w:t>
      </w:r>
      <w:proofErr w:type="spellEnd"/>
      <w:r w:rsidRPr="008778FE">
        <w:rPr>
          <w:rFonts w:ascii="Arial" w:hAnsi="Arial" w:cs="Arial"/>
          <w:i/>
          <w:iCs/>
          <w:sz w:val="24"/>
          <w:szCs w:val="24"/>
          <w:lang w:val="en-US"/>
        </w:rPr>
        <w:t xml:space="preserve"> Cymru - </w:t>
      </w:r>
      <w:proofErr w:type="spellStart"/>
      <w:r w:rsidRPr="008778FE">
        <w:rPr>
          <w:rFonts w:ascii="Arial" w:hAnsi="Arial" w:cs="Arial"/>
          <w:i/>
          <w:iCs/>
          <w:sz w:val="24"/>
          <w:szCs w:val="24"/>
          <w:lang w:val="en-US"/>
        </w:rPr>
        <w:t>Rhaglen</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Datblygu</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Gwledig</w:t>
      </w:r>
      <w:proofErr w:type="spellEnd"/>
      <w:r w:rsidRPr="008778FE">
        <w:rPr>
          <w:rFonts w:ascii="Arial" w:hAnsi="Arial" w:cs="Arial"/>
          <w:i/>
          <w:iCs/>
          <w:sz w:val="24"/>
          <w:szCs w:val="24"/>
          <w:lang w:val="en-US"/>
        </w:rPr>
        <w:t xml:space="preserve"> Cymru 2014-2020, a </w:t>
      </w:r>
      <w:proofErr w:type="spellStart"/>
      <w:r w:rsidRPr="008778FE">
        <w:rPr>
          <w:rFonts w:ascii="Arial" w:hAnsi="Arial" w:cs="Arial"/>
          <w:i/>
          <w:iCs/>
          <w:sz w:val="24"/>
          <w:szCs w:val="24"/>
          <w:lang w:val="en-US"/>
        </w:rPr>
        <w:t>ariennir</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gan</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Lywodraeth</w:t>
      </w:r>
      <w:proofErr w:type="spellEnd"/>
      <w:r w:rsidRPr="008778FE">
        <w:rPr>
          <w:rFonts w:ascii="Arial" w:hAnsi="Arial" w:cs="Arial"/>
          <w:i/>
          <w:iCs/>
          <w:sz w:val="24"/>
          <w:szCs w:val="24"/>
          <w:lang w:val="en-US"/>
        </w:rPr>
        <w:t xml:space="preserve"> Cymru </w:t>
      </w:r>
      <w:proofErr w:type="spellStart"/>
      <w:r w:rsidRPr="008778FE">
        <w:rPr>
          <w:rFonts w:ascii="Arial" w:hAnsi="Arial" w:cs="Arial"/>
          <w:i/>
          <w:iCs/>
          <w:sz w:val="24"/>
          <w:szCs w:val="24"/>
          <w:lang w:val="en-US"/>
        </w:rPr>
        <w:t>a’r</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Gronfa</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Amaethyddol</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Ewrop</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ar</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gyfer</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Datblygu</w:t>
      </w:r>
      <w:proofErr w:type="spellEnd"/>
      <w:r w:rsidRPr="008778FE">
        <w:rPr>
          <w:rFonts w:ascii="Arial" w:hAnsi="Arial" w:cs="Arial"/>
          <w:i/>
          <w:iCs/>
          <w:sz w:val="24"/>
          <w:szCs w:val="24"/>
          <w:lang w:val="en-US"/>
        </w:rPr>
        <w:t xml:space="preserve"> </w:t>
      </w:r>
      <w:proofErr w:type="spellStart"/>
      <w:r w:rsidRPr="008778FE">
        <w:rPr>
          <w:rFonts w:ascii="Arial" w:hAnsi="Arial" w:cs="Arial"/>
          <w:i/>
          <w:iCs/>
          <w:sz w:val="24"/>
          <w:szCs w:val="24"/>
          <w:lang w:val="en-US"/>
        </w:rPr>
        <w:t>Gwledig</w:t>
      </w:r>
      <w:proofErr w:type="spellEnd"/>
      <w:r w:rsidRPr="008778FE">
        <w:rPr>
          <w:rFonts w:ascii="Arial" w:hAnsi="Arial" w:cs="Arial"/>
          <w:i/>
          <w:iCs/>
          <w:sz w:val="24"/>
          <w:szCs w:val="24"/>
          <w:lang w:val="en-US"/>
        </w:rPr>
        <w:t>.</w:t>
      </w:r>
    </w:p>
    <w:p w14:paraId="1AE9F014" w14:textId="77777777" w:rsidR="00AE649E" w:rsidRPr="008778FE" w:rsidRDefault="00AE649E" w:rsidP="008778FE">
      <w:pPr>
        <w:spacing w:after="0" w:line="240" w:lineRule="auto"/>
        <w:rPr>
          <w:rFonts w:ascii="Arial" w:hAnsi="Arial" w:cs="Arial"/>
          <w:sz w:val="24"/>
          <w:szCs w:val="24"/>
        </w:rPr>
      </w:pPr>
    </w:p>
    <w:p w14:paraId="3BC799ED" w14:textId="77777777" w:rsidR="00AE649E" w:rsidRPr="008778FE" w:rsidRDefault="00AE649E" w:rsidP="008778FE">
      <w:pPr>
        <w:spacing w:after="0" w:line="240" w:lineRule="auto"/>
        <w:rPr>
          <w:rFonts w:ascii="Arial" w:hAnsi="Arial" w:cs="Arial"/>
          <w:color w:val="FF0000"/>
          <w:sz w:val="24"/>
          <w:szCs w:val="24"/>
        </w:rPr>
      </w:pPr>
    </w:p>
    <w:p w14:paraId="237C1C26" w14:textId="70ED8367" w:rsidR="00AE649E" w:rsidRPr="00F6557B" w:rsidRDefault="00AE649E" w:rsidP="00F6557B">
      <w:pPr>
        <w:pStyle w:val="ListParagraph"/>
        <w:spacing w:after="0" w:line="240" w:lineRule="auto"/>
        <w:ind w:left="0"/>
        <w:rPr>
          <w:rFonts w:ascii="Arial" w:hAnsi="Arial" w:cs="Arial"/>
          <w:b/>
          <w:i/>
          <w:iCs/>
          <w:sz w:val="24"/>
          <w:szCs w:val="24"/>
        </w:rPr>
      </w:pPr>
      <w:r w:rsidRPr="00F6557B">
        <w:rPr>
          <w:rFonts w:ascii="Arial" w:hAnsi="Arial" w:cs="Arial"/>
          <w:b/>
          <w:i/>
          <w:iCs/>
          <w:sz w:val="24"/>
          <w:szCs w:val="24"/>
        </w:rPr>
        <w:t xml:space="preserve">Performance Indicators and Evidence of Project Activity </w:t>
      </w:r>
    </w:p>
    <w:p w14:paraId="6B509C5E" w14:textId="77777777" w:rsidR="00AE649E" w:rsidRPr="008778FE" w:rsidRDefault="00AE649E" w:rsidP="008778FE">
      <w:pPr>
        <w:spacing w:after="0" w:line="240" w:lineRule="auto"/>
        <w:rPr>
          <w:rFonts w:ascii="Arial" w:hAnsi="Arial" w:cs="Arial"/>
          <w:sz w:val="24"/>
          <w:szCs w:val="24"/>
        </w:rPr>
      </w:pPr>
      <w:r w:rsidRPr="008778FE">
        <w:rPr>
          <w:rFonts w:ascii="Arial" w:hAnsi="Arial" w:cs="Arial"/>
          <w:sz w:val="24"/>
          <w:szCs w:val="24"/>
        </w:rPr>
        <w:t xml:space="preserve">The applicant is required to assist </w:t>
      </w:r>
      <w:proofErr w:type="spellStart"/>
      <w:r w:rsidRPr="008778FE">
        <w:rPr>
          <w:rFonts w:ascii="Arial" w:hAnsi="Arial" w:cs="Arial"/>
          <w:sz w:val="24"/>
          <w:szCs w:val="24"/>
        </w:rPr>
        <w:t>Cadwyn</w:t>
      </w:r>
      <w:proofErr w:type="spellEnd"/>
      <w:r w:rsidRPr="008778FE">
        <w:rPr>
          <w:rFonts w:ascii="Arial" w:hAnsi="Arial" w:cs="Arial"/>
          <w:sz w:val="24"/>
          <w:szCs w:val="24"/>
        </w:rPr>
        <w:t xml:space="preserve"> Clwyd Project Officers in recording evidence of project activity and ensure all audit evidence pertaining to project Performance Indicators is collected.  The Performance Indicators to be achieved should be identified at application stage.  Project Officers will provide guidance on the Performance Indicators and audit evidence requirements.</w:t>
      </w:r>
    </w:p>
    <w:p w14:paraId="0E8BB5B1" w14:textId="444C2B33" w:rsidR="00AE649E" w:rsidRDefault="00AE649E" w:rsidP="008778FE">
      <w:pPr>
        <w:spacing w:after="0" w:line="240" w:lineRule="auto"/>
        <w:rPr>
          <w:rFonts w:ascii="Arial" w:hAnsi="Arial" w:cs="Arial"/>
          <w:sz w:val="24"/>
          <w:szCs w:val="24"/>
        </w:rPr>
      </w:pPr>
    </w:p>
    <w:p w14:paraId="3922102E" w14:textId="77777777" w:rsidR="00F22E4A" w:rsidRPr="008778FE" w:rsidRDefault="00F22E4A" w:rsidP="008778FE">
      <w:pPr>
        <w:spacing w:after="0" w:line="240" w:lineRule="auto"/>
        <w:rPr>
          <w:rFonts w:ascii="Arial"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984"/>
      </w:tblGrid>
      <w:tr w:rsidR="004C31EA" w:rsidRPr="00F22E4A" w14:paraId="3064BDAC" w14:textId="77777777" w:rsidTr="00D65AD3">
        <w:tc>
          <w:tcPr>
            <w:tcW w:w="8217" w:type="dxa"/>
            <w:shd w:val="clear" w:color="auto" w:fill="F2DBDB"/>
          </w:tcPr>
          <w:p w14:paraId="11BF2FE8" w14:textId="54F0CFFE" w:rsidR="004C31EA" w:rsidRPr="003837EF" w:rsidRDefault="004C31EA" w:rsidP="006242FD">
            <w:pPr>
              <w:rPr>
                <w:rFonts w:ascii="Arial Narrow" w:hAnsi="Arial Narrow"/>
                <w:b/>
                <w:bCs/>
              </w:rPr>
            </w:pPr>
            <w:r w:rsidRPr="004C31EA">
              <w:rPr>
                <w:rFonts w:ascii="Arial Narrow" w:hAnsi="Arial Narrow"/>
                <w:b/>
                <w:bCs/>
                <w:sz w:val="28"/>
                <w:szCs w:val="28"/>
              </w:rPr>
              <w:t>Performance Indicator</w:t>
            </w:r>
          </w:p>
        </w:tc>
        <w:tc>
          <w:tcPr>
            <w:tcW w:w="1984" w:type="dxa"/>
            <w:shd w:val="clear" w:color="auto" w:fill="auto"/>
          </w:tcPr>
          <w:p w14:paraId="6E9DA235" w14:textId="75265F3B" w:rsidR="004C31EA" w:rsidRPr="004C31EA" w:rsidRDefault="004C31EA" w:rsidP="006242FD">
            <w:pPr>
              <w:rPr>
                <w:rFonts w:ascii="Arial Narrow" w:hAnsi="Arial Narrow"/>
                <w:b/>
                <w:bCs/>
              </w:rPr>
            </w:pPr>
            <w:r w:rsidRPr="004C31EA">
              <w:rPr>
                <w:rFonts w:ascii="Arial Narrow" w:hAnsi="Arial Narrow"/>
                <w:b/>
                <w:bCs/>
                <w:sz w:val="28"/>
                <w:szCs w:val="28"/>
              </w:rPr>
              <w:t>No</w:t>
            </w:r>
          </w:p>
        </w:tc>
      </w:tr>
      <w:tr w:rsidR="00D65AD3" w:rsidRPr="00F22E4A" w14:paraId="1AAF4440" w14:textId="77777777" w:rsidTr="00D65AD3">
        <w:tc>
          <w:tcPr>
            <w:tcW w:w="8217" w:type="dxa"/>
            <w:shd w:val="clear" w:color="auto" w:fill="F2DBDB"/>
          </w:tcPr>
          <w:p w14:paraId="39BC0676" w14:textId="5751ACB9" w:rsidR="00D65AD3" w:rsidRPr="003837EF" w:rsidRDefault="00D65AD3" w:rsidP="006242FD">
            <w:pPr>
              <w:rPr>
                <w:rFonts w:ascii="Arial Narrow" w:hAnsi="Arial Narrow"/>
                <w:b/>
                <w:bCs/>
              </w:rPr>
            </w:pPr>
            <w:r w:rsidRPr="003837EF">
              <w:rPr>
                <w:rFonts w:ascii="Arial Narrow" w:hAnsi="Arial Narrow"/>
                <w:b/>
                <w:bCs/>
              </w:rPr>
              <w:t>Number of information dissemination actions / promotional and/ or marketing activities to raise awareness of the Green Communities project</w:t>
            </w:r>
          </w:p>
        </w:tc>
        <w:tc>
          <w:tcPr>
            <w:tcW w:w="1984" w:type="dxa"/>
            <w:shd w:val="clear" w:color="auto" w:fill="auto"/>
          </w:tcPr>
          <w:p w14:paraId="7D50AAA4" w14:textId="77777777" w:rsidR="00D65AD3" w:rsidRPr="003837EF" w:rsidRDefault="00D65AD3" w:rsidP="006242FD">
            <w:pPr>
              <w:rPr>
                <w:rFonts w:ascii="Arial Narrow" w:hAnsi="Arial Narrow"/>
              </w:rPr>
            </w:pPr>
            <w:r w:rsidRPr="003837EF">
              <w:rPr>
                <w:rFonts w:ascii="Arial Narrow" w:hAnsi="Arial Narrow"/>
              </w:rPr>
              <w:t>1</w:t>
            </w:r>
          </w:p>
        </w:tc>
      </w:tr>
      <w:tr w:rsidR="00D65AD3" w:rsidRPr="00F22E4A" w14:paraId="54FB42F3" w14:textId="77777777" w:rsidTr="00D65AD3">
        <w:tc>
          <w:tcPr>
            <w:tcW w:w="8217" w:type="dxa"/>
            <w:shd w:val="clear" w:color="auto" w:fill="F2DBDB"/>
          </w:tcPr>
          <w:p w14:paraId="50DA09AA" w14:textId="08911B78" w:rsidR="00D65AD3" w:rsidRPr="003837EF" w:rsidRDefault="00D65AD3" w:rsidP="006242FD">
            <w:pPr>
              <w:rPr>
                <w:rFonts w:ascii="Arial Narrow" w:hAnsi="Arial Narrow"/>
                <w:b/>
                <w:bCs/>
              </w:rPr>
            </w:pPr>
            <w:r w:rsidRPr="003837EF">
              <w:rPr>
                <w:rFonts w:ascii="Arial Narrow" w:hAnsi="Arial Narrow"/>
                <w:b/>
                <w:bCs/>
              </w:rPr>
              <w:t xml:space="preserve">Number of networks established </w:t>
            </w:r>
          </w:p>
        </w:tc>
        <w:tc>
          <w:tcPr>
            <w:tcW w:w="1984" w:type="dxa"/>
            <w:shd w:val="clear" w:color="auto" w:fill="auto"/>
          </w:tcPr>
          <w:p w14:paraId="57B1A45C" w14:textId="77777777" w:rsidR="00D65AD3" w:rsidRPr="003837EF" w:rsidRDefault="00D65AD3" w:rsidP="006242FD">
            <w:pPr>
              <w:rPr>
                <w:rFonts w:ascii="Arial Narrow" w:hAnsi="Arial Narrow"/>
              </w:rPr>
            </w:pPr>
            <w:r w:rsidRPr="003837EF">
              <w:rPr>
                <w:rFonts w:ascii="Arial Narrow" w:hAnsi="Arial Narrow"/>
              </w:rPr>
              <w:t>1</w:t>
            </w:r>
          </w:p>
        </w:tc>
      </w:tr>
      <w:tr w:rsidR="00D65AD3" w:rsidRPr="00F22E4A" w14:paraId="74FB878A" w14:textId="77777777" w:rsidTr="00D65AD3">
        <w:tc>
          <w:tcPr>
            <w:tcW w:w="8217" w:type="dxa"/>
            <w:shd w:val="clear" w:color="auto" w:fill="F2DBDB"/>
          </w:tcPr>
          <w:p w14:paraId="464442D6" w14:textId="0596A900" w:rsidR="00D65AD3" w:rsidRPr="003837EF" w:rsidRDefault="00D65AD3" w:rsidP="006242FD">
            <w:pPr>
              <w:rPr>
                <w:rFonts w:ascii="Arial Narrow" w:hAnsi="Arial Narrow"/>
                <w:b/>
                <w:bCs/>
              </w:rPr>
            </w:pPr>
            <w:r w:rsidRPr="003837EF">
              <w:rPr>
                <w:rFonts w:ascii="Arial Narrow" w:hAnsi="Arial Narrow"/>
                <w:b/>
                <w:bCs/>
              </w:rPr>
              <w:t xml:space="preserve">Number of beneficiaries supported </w:t>
            </w:r>
          </w:p>
        </w:tc>
        <w:tc>
          <w:tcPr>
            <w:tcW w:w="1984" w:type="dxa"/>
            <w:shd w:val="clear" w:color="auto" w:fill="auto"/>
          </w:tcPr>
          <w:p w14:paraId="43C4EE6C" w14:textId="77777777" w:rsidR="00D65AD3" w:rsidRPr="003837EF" w:rsidRDefault="00D65AD3" w:rsidP="006242FD">
            <w:pPr>
              <w:rPr>
                <w:rFonts w:ascii="Arial Narrow" w:hAnsi="Arial Narrow"/>
              </w:rPr>
            </w:pPr>
            <w:r w:rsidRPr="003837EF">
              <w:rPr>
                <w:rFonts w:ascii="Arial Narrow" w:hAnsi="Arial Narrow"/>
              </w:rPr>
              <w:t>1</w:t>
            </w:r>
          </w:p>
        </w:tc>
      </w:tr>
      <w:tr w:rsidR="00D65AD3" w:rsidRPr="00F22E4A" w14:paraId="2FB8D5D5" w14:textId="77777777" w:rsidTr="00D65AD3">
        <w:tc>
          <w:tcPr>
            <w:tcW w:w="8217" w:type="dxa"/>
            <w:shd w:val="clear" w:color="auto" w:fill="F2DBDB"/>
          </w:tcPr>
          <w:p w14:paraId="708B9EF5" w14:textId="434514E8" w:rsidR="00D65AD3" w:rsidRPr="003837EF" w:rsidRDefault="00D65AD3" w:rsidP="006242FD">
            <w:pPr>
              <w:rPr>
                <w:rFonts w:ascii="Arial Narrow" w:hAnsi="Arial Narrow" w:cs="Arial Narrow"/>
                <w:lang w:val="cy-GB" w:eastAsia="cy-GB"/>
              </w:rPr>
            </w:pPr>
            <w:r w:rsidRPr="003837EF">
              <w:rPr>
                <w:rFonts w:ascii="Arial Narrow" w:hAnsi="Arial Narrow" w:cs="Arial Narrow"/>
                <w:b/>
                <w:bCs/>
                <w:lang w:val="cy-GB" w:eastAsia="cy-GB"/>
              </w:rPr>
              <w:t>Number of stakeholders engaged</w:t>
            </w:r>
          </w:p>
        </w:tc>
        <w:tc>
          <w:tcPr>
            <w:tcW w:w="1984" w:type="dxa"/>
            <w:shd w:val="clear" w:color="auto" w:fill="auto"/>
          </w:tcPr>
          <w:p w14:paraId="375E1783" w14:textId="77777777" w:rsidR="00D65AD3" w:rsidRPr="003837EF" w:rsidRDefault="00D65AD3" w:rsidP="006242FD">
            <w:pPr>
              <w:rPr>
                <w:rFonts w:ascii="Arial Narrow" w:hAnsi="Arial Narrow"/>
              </w:rPr>
            </w:pPr>
            <w:r w:rsidRPr="003837EF">
              <w:rPr>
                <w:rFonts w:ascii="Arial Narrow" w:hAnsi="Arial Narrow"/>
              </w:rPr>
              <w:t xml:space="preserve">To be determined in consultation with </w:t>
            </w:r>
            <w:proofErr w:type="spellStart"/>
            <w:r w:rsidRPr="003837EF">
              <w:rPr>
                <w:rFonts w:ascii="Arial Narrow" w:hAnsi="Arial Narrow"/>
              </w:rPr>
              <w:t>Cadwyn</w:t>
            </w:r>
            <w:proofErr w:type="spellEnd"/>
            <w:r w:rsidRPr="003837EF">
              <w:rPr>
                <w:rFonts w:ascii="Arial Narrow" w:hAnsi="Arial Narrow"/>
              </w:rPr>
              <w:t xml:space="preserve"> Clwyd</w:t>
            </w:r>
          </w:p>
        </w:tc>
      </w:tr>
    </w:tbl>
    <w:p w14:paraId="07433F3E" w14:textId="39DDDAA2" w:rsidR="00E86011" w:rsidRDefault="00E86011" w:rsidP="008778FE">
      <w:pPr>
        <w:spacing w:after="0" w:line="240" w:lineRule="auto"/>
        <w:rPr>
          <w:rFonts w:ascii="Arial" w:hAnsi="Arial" w:cs="Arial"/>
          <w:sz w:val="24"/>
          <w:szCs w:val="24"/>
        </w:rPr>
      </w:pPr>
    </w:p>
    <w:p w14:paraId="0F1950A9" w14:textId="59382974" w:rsidR="00E86011" w:rsidRDefault="00E86011" w:rsidP="008778FE">
      <w:pPr>
        <w:spacing w:after="0" w:line="240" w:lineRule="auto"/>
        <w:rPr>
          <w:rFonts w:ascii="Arial" w:hAnsi="Arial" w:cs="Arial"/>
          <w:sz w:val="24"/>
          <w:szCs w:val="24"/>
        </w:rPr>
      </w:pPr>
    </w:p>
    <w:p w14:paraId="5A9B1A9C" w14:textId="0B58B9DA" w:rsidR="00E86011" w:rsidRDefault="00E86011" w:rsidP="008778FE">
      <w:pPr>
        <w:spacing w:after="0" w:line="240" w:lineRule="auto"/>
        <w:rPr>
          <w:rFonts w:ascii="Arial" w:hAnsi="Arial" w:cs="Arial"/>
          <w:sz w:val="24"/>
          <w:szCs w:val="24"/>
        </w:rPr>
      </w:pPr>
    </w:p>
    <w:p w14:paraId="65DE983D" w14:textId="27835745" w:rsidR="00E86011" w:rsidRDefault="00E86011" w:rsidP="008778FE">
      <w:pPr>
        <w:spacing w:after="0" w:line="240" w:lineRule="auto"/>
        <w:rPr>
          <w:rFonts w:ascii="Arial" w:hAnsi="Arial" w:cs="Arial"/>
          <w:sz w:val="24"/>
          <w:szCs w:val="24"/>
        </w:rPr>
      </w:pPr>
    </w:p>
    <w:p w14:paraId="74B7B640" w14:textId="46D79A54" w:rsidR="00E86011" w:rsidRDefault="00E86011" w:rsidP="008778FE">
      <w:pPr>
        <w:spacing w:after="0" w:line="240" w:lineRule="auto"/>
        <w:rPr>
          <w:rFonts w:ascii="Arial" w:hAnsi="Arial" w:cs="Arial"/>
          <w:sz w:val="24"/>
          <w:szCs w:val="24"/>
        </w:rPr>
      </w:pPr>
    </w:p>
    <w:p w14:paraId="584863B4" w14:textId="6C25CC66" w:rsidR="00E86011" w:rsidRDefault="00E86011" w:rsidP="008778FE">
      <w:pPr>
        <w:spacing w:after="0" w:line="240" w:lineRule="auto"/>
        <w:rPr>
          <w:rFonts w:ascii="Arial" w:hAnsi="Arial" w:cs="Arial"/>
          <w:sz w:val="24"/>
          <w:szCs w:val="24"/>
        </w:rPr>
      </w:pPr>
    </w:p>
    <w:p w14:paraId="011F675C" w14:textId="2CCCE31B" w:rsidR="00E86011" w:rsidRDefault="00E86011" w:rsidP="008778FE">
      <w:pPr>
        <w:spacing w:after="0" w:line="240" w:lineRule="auto"/>
        <w:rPr>
          <w:rFonts w:ascii="Arial" w:hAnsi="Arial" w:cs="Arial"/>
          <w:sz w:val="24"/>
          <w:szCs w:val="24"/>
        </w:rPr>
      </w:pPr>
    </w:p>
    <w:p w14:paraId="4B313C81" w14:textId="3AEB00F6" w:rsidR="00E86011" w:rsidRDefault="00E86011" w:rsidP="008778FE">
      <w:pPr>
        <w:spacing w:after="0" w:line="240" w:lineRule="auto"/>
        <w:rPr>
          <w:rFonts w:ascii="Arial" w:hAnsi="Arial" w:cs="Arial"/>
          <w:sz w:val="24"/>
          <w:szCs w:val="24"/>
        </w:rPr>
      </w:pPr>
    </w:p>
    <w:p w14:paraId="6490A24D" w14:textId="1BAF4203" w:rsidR="00E86011" w:rsidRDefault="00E86011" w:rsidP="008778FE">
      <w:pPr>
        <w:spacing w:after="0" w:line="240" w:lineRule="auto"/>
        <w:rPr>
          <w:rFonts w:ascii="Arial" w:hAnsi="Arial" w:cs="Arial"/>
          <w:sz w:val="24"/>
          <w:szCs w:val="24"/>
        </w:rPr>
      </w:pPr>
    </w:p>
    <w:p w14:paraId="2D841EFE" w14:textId="40A5CF10" w:rsidR="00E86011" w:rsidRDefault="00E86011" w:rsidP="008778FE">
      <w:pPr>
        <w:spacing w:after="0" w:line="240" w:lineRule="auto"/>
        <w:rPr>
          <w:rFonts w:ascii="Arial" w:hAnsi="Arial" w:cs="Arial"/>
          <w:sz w:val="24"/>
          <w:szCs w:val="24"/>
        </w:rPr>
      </w:pPr>
    </w:p>
    <w:p w14:paraId="34057C05" w14:textId="5173922C" w:rsidR="00E86011" w:rsidRDefault="00E86011" w:rsidP="008778FE">
      <w:pPr>
        <w:spacing w:after="0" w:line="240" w:lineRule="auto"/>
        <w:rPr>
          <w:rFonts w:ascii="Arial" w:hAnsi="Arial" w:cs="Arial"/>
          <w:sz w:val="24"/>
          <w:szCs w:val="24"/>
        </w:rPr>
      </w:pPr>
    </w:p>
    <w:p w14:paraId="59BB9154" w14:textId="0BC31A36" w:rsidR="00E86011" w:rsidRDefault="00E86011" w:rsidP="008778FE">
      <w:pPr>
        <w:spacing w:after="0" w:line="240" w:lineRule="auto"/>
        <w:rPr>
          <w:rFonts w:ascii="Arial" w:hAnsi="Arial" w:cs="Arial"/>
          <w:sz w:val="24"/>
          <w:szCs w:val="24"/>
        </w:rPr>
      </w:pPr>
    </w:p>
    <w:p w14:paraId="56D14329" w14:textId="350A68EB" w:rsidR="00E86011" w:rsidRDefault="00E86011" w:rsidP="008778FE">
      <w:pPr>
        <w:spacing w:after="0" w:line="240" w:lineRule="auto"/>
        <w:rPr>
          <w:rFonts w:ascii="Arial" w:hAnsi="Arial" w:cs="Arial"/>
          <w:sz w:val="24"/>
          <w:szCs w:val="24"/>
        </w:rPr>
      </w:pPr>
    </w:p>
    <w:p w14:paraId="6B67BDDC" w14:textId="35F0C946" w:rsidR="00E86011" w:rsidRDefault="00E86011" w:rsidP="00BC37C3">
      <w:pPr>
        <w:tabs>
          <w:tab w:val="left" w:pos="5940"/>
        </w:tabs>
        <w:spacing w:after="0" w:line="240" w:lineRule="auto"/>
        <w:rPr>
          <w:rFonts w:ascii="Arial" w:hAnsi="Arial" w:cs="Arial"/>
          <w:sz w:val="24"/>
          <w:szCs w:val="24"/>
        </w:rPr>
      </w:pPr>
    </w:p>
    <w:p w14:paraId="389FFC42" w14:textId="6C9D2F83" w:rsidR="00E86011" w:rsidRDefault="00E86011" w:rsidP="008778FE">
      <w:pPr>
        <w:spacing w:after="0" w:line="240" w:lineRule="auto"/>
        <w:rPr>
          <w:rFonts w:ascii="Arial" w:hAnsi="Arial" w:cs="Arial"/>
          <w:sz w:val="24"/>
          <w:szCs w:val="24"/>
        </w:rPr>
      </w:pPr>
    </w:p>
    <w:p w14:paraId="7A4D4F56" w14:textId="77777777" w:rsidR="00E86011" w:rsidRDefault="00E86011" w:rsidP="008778FE">
      <w:pPr>
        <w:spacing w:after="0" w:line="240" w:lineRule="auto"/>
        <w:rPr>
          <w:rFonts w:ascii="Arial" w:hAnsi="Arial" w:cs="Arial"/>
          <w:sz w:val="24"/>
          <w:szCs w:val="24"/>
        </w:rPr>
      </w:pPr>
    </w:p>
    <w:p w14:paraId="054524D7" w14:textId="48A2FEE8" w:rsidR="00E86011" w:rsidRDefault="00E86011" w:rsidP="008778FE">
      <w:pPr>
        <w:spacing w:after="0" w:line="240" w:lineRule="auto"/>
        <w:rPr>
          <w:rFonts w:ascii="Arial" w:hAnsi="Arial" w:cs="Arial"/>
          <w:sz w:val="24"/>
          <w:szCs w:val="24"/>
        </w:rPr>
      </w:pPr>
    </w:p>
    <w:sectPr w:rsidR="00E86011" w:rsidSect="00BB1BA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BFB6" w14:textId="77777777" w:rsidR="005B2DC9" w:rsidRDefault="005B2DC9">
      <w:pPr>
        <w:spacing w:after="0" w:line="240" w:lineRule="auto"/>
      </w:pPr>
      <w:r>
        <w:separator/>
      </w:r>
    </w:p>
  </w:endnote>
  <w:endnote w:type="continuationSeparator" w:id="0">
    <w:p w14:paraId="1BD1081C" w14:textId="77777777" w:rsidR="005B2DC9" w:rsidRDefault="005B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E6D4" w14:textId="77777777" w:rsidR="005B2DC9" w:rsidRDefault="005B2DC9">
      <w:pPr>
        <w:spacing w:after="0" w:line="240" w:lineRule="auto"/>
      </w:pPr>
      <w:r>
        <w:separator/>
      </w:r>
    </w:p>
  </w:footnote>
  <w:footnote w:type="continuationSeparator" w:id="0">
    <w:p w14:paraId="1720C057" w14:textId="77777777" w:rsidR="005B2DC9" w:rsidRDefault="005B2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B2"/>
    <w:multiLevelType w:val="hybridMultilevel"/>
    <w:tmpl w:val="8EB4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20975"/>
    <w:multiLevelType w:val="hybridMultilevel"/>
    <w:tmpl w:val="1C8A3060"/>
    <w:lvl w:ilvl="0" w:tplc="1E76E87C">
      <w:start w:val="1"/>
      <w:numFmt w:val="bullet"/>
      <w:lvlText w:val=""/>
      <w:lvlJc w:val="left"/>
      <w:pPr>
        <w:ind w:left="720" w:hanging="360"/>
      </w:pPr>
      <w:rPr>
        <w:rFonts w:ascii="Symbol" w:hAnsi="Symbol" w:hint="default"/>
      </w:rPr>
    </w:lvl>
    <w:lvl w:ilvl="1" w:tplc="66844000">
      <w:start w:val="1"/>
      <w:numFmt w:val="bullet"/>
      <w:lvlText w:val="o"/>
      <w:lvlJc w:val="left"/>
      <w:pPr>
        <w:ind w:left="1440" w:hanging="360"/>
      </w:pPr>
      <w:rPr>
        <w:rFonts w:ascii="Courier New" w:hAnsi="Courier New" w:hint="default"/>
      </w:rPr>
    </w:lvl>
    <w:lvl w:ilvl="2" w:tplc="AD96C0F6">
      <w:start w:val="1"/>
      <w:numFmt w:val="bullet"/>
      <w:lvlText w:val=""/>
      <w:lvlJc w:val="left"/>
      <w:pPr>
        <w:ind w:left="2160" w:hanging="360"/>
      </w:pPr>
      <w:rPr>
        <w:rFonts w:ascii="Wingdings" w:hAnsi="Wingdings" w:hint="default"/>
      </w:rPr>
    </w:lvl>
    <w:lvl w:ilvl="3" w:tplc="4482C0B4">
      <w:start w:val="1"/>
      <w:numFmt w:val="bullet"/>
      <w:lvlText w:val=""/>
      <w:lvlJc w:val="left"/>
      <w:pPr>
        <w:ind w:left="2880" w:hanging="360"/>
      </w:pPr>
      <w:rPr>
        <w:rFonts w:ascii="Symbol" w:hAnsi="Symbol" w:hint="default"/>
      </w:rPr>
    </w:lvl>
    <w:lvl w:ilvl="4" w:tplc="3CACF954">
      <w:start w:val="1"/>
      <w:numFmt w:val="bullet"/>
      <w:lvlText w:val="o"/>
      <w:lvlJc w:val="left"/>
      <w:pPr>
        <w:ind w:left="3600" w:hanging="360"/>
      </w:pPr>
      <w:rPr>
        <w:rFonts w:ascii="Courier New" w:hAnsi="Courier New" w:hint="default"/>
      </w:rPr>
    </w:lvl>
    <w:lvl w:ilvl="5" w:tplc="90E89E56">
      <w:start w:val="1"/>
      <w:numFmt w:val="bullet"/>
      <w:lvlText w:val=""/>
      <w:lvlJc w:val="left"/>
      <w:pPr>
        <w:ind w:left="4320" w:hanging="360"/>
      </w:pPr>
      <w:rPr>
        <w:rFonts w:ascii="Wingdings" w:hAnsi="Wingdings" w:hint="default"/>
      </w:rPr>
    </w:lvl>
    <w:lvl w:ilvl="6" w:tplc="C9F8A958">
      <w:start w:val="1"/>
      <w:numFmt w:val="bullet"/>
      <w:lvlText w:val=""/>
      <w:lvlJc w:val="left"/>
      <w:pPr>
        <w:ind w:left="5040" w:hanging="360"/>
      </w:pPr>
      <w:rPr>
        <w:rFonts w:ascii="Symbol" w:hAnsi="Symbol" w:hint="default"/>
      </w:rPr>
    </w:lvl>
    <w:lvl w:ilvl="7" w:tplc="3DF41010">
      <w:start w:val="1"/>
      <w:numFmt w:val="bullet"/>
      <w:lvlText w:val="o"/>
      <w:lvlJc w:val="left"/>
      <w:pPr>
        <w:ind w:left="5760" w:hanging="360"/>
      </w:pPr>
      <w:rPr>
        <w:rFonts w:ascii="Courier New" w:hAnsi="Courier New" w:hint="default"/>
      </w:rPr>
    </w:lvl>
    <w:lvl w:ilvl="8" w:tplc="B8984430">
      <w:start w:val="1"/>
      <w:numFmt w:val="bullet"/>
      <w:lvlText w:val=""/>
      <w:lvlJc w:val="left"/>
      <w:pPr>
        <w:ind w:left="6480" w:hanging="360"/>
      </w:pPr>
      <w:rPr>
        <w:rFonts w:ascii="Wingdings" w:hAnsi="Wingdings" w:hint="default"/>
      </w:rPr>
    </w:lvl>
  </w:abstractNum>
  <w:abstractNum w:abstractNumId="2" w15:restartNumberingAfterBreak="0">
    <w:nsid w:val="0BE90A70"/>
    <w:multiLevelType w:val="hybridMultilevel"/>
    <w:tmpl w:val="A358E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B1726"/>
    <w:multiLevelType w:val="hybridMultilevel"/>
    <w:tmpl w:val="6E263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E20E3"/>
    <w:multiLevelType w:val="multilevel"/>
    <w:tmpl w:val="BD086F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FE0731"/>
    <w:multiLevelType w:val="hybridMultilevel"/>
    <w:tmpl w:val="76A2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80CBB"/>
    <w:multiLevelType w:val="hybridMultilevel"/>
    <w:tmpl w:val="05E8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65BAB"/>
    <w:multiLevelType w:val="hybridMultilevel"/>
    <w:tmpl w:val="D51E7EF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093FDD"/>
    <w:multiLevelType w:val="hybridMultilevel"/>
    <w:tmpl w:val="86EC7D32"/>
    <w:lvl w:ilvl="0" w:tplc="C80A9FE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46ED7"/>
    <w:multiLevelType w:val="hybridMultilevel"/>
    <w:tmpl w:val="0DA2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B44B4"/>
    <w:multiLevelType w:val="hybridMultilevel"/>
    <w:tmpl w:val="3F32E248"/>
    <w:lvl w:ilvl="0" w:tplc="BC208ED6">
      <w:start w:val="1"/>
      <w:numFmt w:val="lowerLetter"/>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CC7245"/>
    <w:multiLevelType w:val="hybridMultilevel"/>
    <w:tmpl w:val="FDD09A2C"/>
    <w:lvl w:ilvl="0" w:tplc="773235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F36C4"/>
    <w:multiLevelType w:val="hybridMultilevel"/>
    <w:tmpl w:val="3EFA4F7A"/>
    <w:lvl w:ilvl="0" w:tplc="FAD673B2">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447E2"/>
    <w:multiLevelType w:val="hybridMultilevel"/>
    <w:tmpl w:val="F926E662"/>
    <w:lvl w:ilvl="0" w:tplc="DCB6C14E">
      <w:start w:val="1"/>
      <w:numFmt w:val="bullet"/>
      <w:lvlText w:val=""/>
      <w:lvlJc w:val="left"/>
      <w:pPr>
        <w:ind w:left="720" w:hanging="360"/>
      </w:pPr>
      <w:rPr>
        <w:rFonts w:ascii="Symbol" w:hAnsi="Symbol" w:hint="default"/>
      </w:rPr>
    </w:lvl>
    <w:lvl w:ilvl="1" w:tplc="63CACC50">
      <w:start w:val="1"/>
      <w:numFmt w:val="bullet"/>
      <w:lvlText w:val="o"/>
      <w:lvlJc w:val="left"/>
      <w:pPr>
        <w:ind w:left="1440" w:hanging="360"/>
      </w:pPr>
      <w:rPr>
        <w:rFonts w:ascii="Courier New" w:hAnsi="Courier New" w:hint="default"/>
      </w:rPr>
    </w:lvl>
    <w:lvl w:ilvl="2" w:tplc="CD1C60A8">
      <w:start w:val="1"/>
      <w:numFmt w:val="bullet"/>
      <w:lvlText w:val=""/>
      <w:lvlJc w:val="left"/>
      <w:pPr>
        <w:ind w:left="2160" w:hanging="360"/>
      </w:pPr>
      <w:rPr>
        <w:rFonts w:ascii="Wingdings" w:hAnsi="Wingdings" w:hint="default"/>
      </w:rPr>
    </w:lvl>
    <w:lvl w:ilvl="3" w:tplc="67B61248">
      <w:start w:val="1"/>
      <w:numFmt w:val="bullet"/>
      <w:lvlText w:val=""/>
      <w:lvlJc w:val="left"/>
      <w:pPr>
        <w:ind w:left="2880" w:hanging="360"/>
      </w:pPr>
      <w:rPr>
        <w:rFonts w:ascii="Symbol" w:hAnsi="Symbol" w:hint="default"/>
      </w:rPr>
    </w:lvl>
    <w:lvl w:ilvl="4" w:tplc="C666DC4A">
      <w:start w:val="1"/>
      <w:numFmt w:val="bullet"/>
      <w:lvlText w:val="o"/>
      <w:lvlJc w:val="left"/>
      <w:pPr>
        <w:ind w:left="3600" w:hanging="360"/>
      </w:pPr>
      <w:rPr>
        <w:rFonts w:ascii="Courier New" w:hAnsi="Courier New" w:hint="default"/>
      </w:rPr>
    </w:lvl>
    <w:lvl w:ilvl="5" w:tplc="A472556E">
      <w:start w:val="1"/>
      <w:numFmt w:val="bullet"/>
      <w:lvlText w:val=""/>
      <w:lvlJc w:val="left"/>
      <w:pPr>
        <w:ind w:left="4320" w:hanging="360"/>
      </w:pPr>
      <w:rPr>
        <w:rFonts w:ascii="Wingdings" w:hAnsi="Wingdings" w:hint="default"/>
      </w:rPr>
    </w:lvl>
    <w:lvl w:ilvl="6" w:tplc="C48A7C28">
      <w:start w:val="1"/>
      <w:numFmt w:val="bullet"/>
      <w:lvlText w:val=""/>
      <w:lvlJc w:val="left"/>
      <w:pPr>
        <w:ind w:left="5040" w:hanging="360"/>
      </w:pPr>
      <w:rPr>
        <w:rFonts w:ascii="Symbol" w:hAnsi="Symbol" w:hint="default"/>
      </w:rPr>
    </w:lvl>
    <w:lvl w:ilvl="7" w:tplc="67E2DF12">
      <w:start w:val="1"/>
      <w:numFmt w:val="bullet"/>
      <w:lvlText w:val="o"/>
      <w:lvlJc w:val="left"/>
      <w:pPr>
        <w:ind w:left="5760" w:hanging="360"/>
      </w:pPr>
      <w:rPr>
        <w:rFonts w:ascii="Courier New" w:hAnsi="Courier New" w:hint="default"/>
      </w:rPr>
    </w:lvl>
    <w:lvl w:ilvl="8" w:tplc="6C94DB38">
      <w:start w:val="1"/>
      <w:numFmt w:val="bullet"/>
      <w:lvlText w:val=""/>
      <w:lvlJc w:val="left"/>
      <w:pPr>
        <w:ind w:left="6480" w:hanging="360"/>
      </w:pPr>
      <w:rPr>
        <w:rFonts w:ascii="Wingdings" w:hAnsi="Wingdings" w:hint="default"/>
      </w:rPr>
    </w:lvl>
  </w:abstractNum>
  <w:abstractNum w:abstractNumId="14" w15:restartNumberingAfterBreak="0">
    <w:nsid w:val="386F29D1"/>
    <w:multiLevelType w:val="hybridMultilevel"/>
    <w:tmpl w:val="DDDCEB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ACB4A7E"/>
    <w:multiLevelType w:val="hybridMultilevel"/>
    <w:tmpl w:val="20E44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514592"/>
    <w:multiLevelType w:val="hybridMultilevel"/>
    <w:tmpl w:val="0E7E544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94F18C1"/>
    <w:multiLevelType w:val="hybridMultilevel"/>
    <w:tmpl w:val="6FD6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F6DB8"/>
    <w:multiLevelType w:val="hybridMultilevel"/>
    <w:tmpl w:val="1E96D502"/>
    <w:lvl w:ilvl="0" w:tplc="52CEF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230AF"/>
    <w:multiLevelType w:val="hybridMultilevel"/>
    <w:tmpl w:val="A4D403B6"/>
    <w:lvl w:ilvl="0" w:tplc="CE74C68E">
      <w:start w:val="1"/>
      <w:numFmt w:val="decimal"/>
      <w:lvlText w:val="%1."/>
      <w:lvlJc w:val="left"/>
      <w:pPr>
        <w:tabs>
          <w:tab w:val="num" w:pos="720"/>
        </w:tabs>
        <w:ind w:left="720" w:hanging="360"/>
      </w:pPr>
      <w:rPr>
        <w:rFonts w:ascii="Arial Narrow" w:hAnsi="Arial Narro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6496875"/>
    <w:multiLevelType w:val="hybridMultilevel"/>
    <w:tmpl w:val="26EE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B3530"/>
    <w:multiLevelType w:val="hybridMultilevel"/>
    <w:tmpl w:val="632ABA5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2" w15:restartNumberingAfterBreak="0">
    <w:nsid w:val="680B43E3"/>
    <w:multiLevelType w:val="hybridMultilevel"/>
    <w:tmpl w:val="4FB06D3E"/>
    <w:lvl w:ilvl="0" w:tplc="5E10E35C">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3515E4"/>
    <w:multiLevelType w:val="hybridMultilevel"/>
    <w:tmpl w:val="F8624826"/>
    <w:lvl w:ilvl="0" w:tplc="2B92C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0343C"/>
    <w:multiLevelType w:val="hybridMultilevel"/>
    <w:tmpl w:val="3F80865A"/>
    <w:lvl w:ilvl="0" w:tplc="A860E890">
      <w:start w:val="1"/>
      <w:numFmt w:val="bullet"/>
      <w:lvlText w:val=""/>
      <w:lvlJc w:val="left"/>
      <w:pPr>
        <w:ind w:left="720" w:hanging="360"/>
      </w:pPr>
      <w:rPr>
        <w:rFonts w:ascii="Symbol" w:hAnsi="Symbol" w:hint="default"/>
      </w:rPr>
    </w:lvl>
    <w:lvl w:ilvl="1" w:tplc="938CFAC0">
      <w:start w:val="1"/>
      <w:numFmt w:val="bullet"/>
      <w:lvlText w:val="o"/>
      <w:lvlJc w:val="left"/>
      <w:pPr>
        <w:ind w:left="1440" w:hanging="360"/>
      </w:pPr>
      <w:rPr>
        <w:rFonts w:ascii="Courier New" w:hAnsi="Courier New" w:hint="default"/>
      </w:rPr>
    </w:lvl>
    <w:lvl w:ilvl="2" w:tplc="3A589B78">
      <w:start w:val="1"/>
      <w:numFmt w:val="bullet"/>
      <w:lvlText w:val=""/>
      <w:lvlJc w:val="left"/>
      <w:pPr>
        <w:ind w:left="2160" w:hanging="360"/>
      </w:pPr>
      <w:rPr>
        <w:rFonts w:ascii="Wingdings" w:hAnsi="Wingdings" w:hint="default"/>
      </w:rPr>
    </w:lvl>
    <w:lvl w:ilvl="3" w:tplc="D0DE705C">
      <w:start w:val="1"/>
      <w:numFmt w:val="bullet"/>
      <w:lvlText w:val=""/>
      <w:lvlJc w:val="left"/>
      <w:pPr>
        <w:ind w:left="2880" w:hanging="360"/>
      </w:pPr>
      <w:rPr>
        <w:rFonts w:ascii="Symbol" w:hAnsi="Symbol" w:hint="default"/>
      </w:rPr>
    </w:lvl>
    <w:lvl w:ilvl="4" w:tplc="EBFA8EEE">
      <w:start w:val="1"/>
      <w:numFmt w:val="bullet"/>
      <w:lvlText w:val="o"/>
      <w:lvlJc w:val="left"/>
      <w:pPr>
        <w:ind w:left="3600" w:hanging="360"/>
      </w:pPr>
      <w:rPr>
        <w:rFonts w:ascii="Courier New" w:hAnsi="Courier New" w:hint="default"/>
      </w:rPr>
    </w:lvl>
    <w:lvl w:ilvl="5" w:tplc="D970542A">
      <w:start w:val="1"/>
      <w:numFmt w:val="bullet"/>
      <w:lvlText w:val=""/>
      <w:lvlJc w:val="left"/>
      <w:pPr>
        <w:ind w:left="4320" w:hanging="360"/>
      </w:pPr>
      <w:rPr>
        <w:rFonts w:ascii="Wingdings" w:hAnsi="Wingdings" w:hint="default"/>
      </w:rPr>
    </w:lvl>
    <w:lvl w:ilvl="6" w:tplc="2DE2A868">
      <w:start w:val="1"/>
      <w:numFmt w:val="bullet"/>
      <w:lvlText w:val=""/>
      <w:lvlJc w:val="left"/>
      <w:pPr>
        <w:ind w:left="5040" w:hanging="360"/>
      </w:pPr>
      <w:rPr>
        <w:rFonts w:ascii="Symbol" w:hAnsi="Symbol" w:hint="default"/>
      </w:rPr>
    </w:lvl>
    <w:lvl w:ilvl="7" w:tplc="23EC654A">
      <w:start w:val="1"/>
      <w:numFmt w:val="bullet"/>
      <w:lvlText w:val="o"/>
      <w:lvlJc w:val="left"/>
      <w:pPr>
        <w:ind w:left="5760" w:hanging="360"/>
      </w:pPr>
      <w:rPr>
        <w:rFonts w:ascii="Courier New" w:hAnsi="Courier New" w:hint="default"/>
      </w:rPr>
    </w:lvl>
    <w:lvl w:ilvl="8" w:tplc="202EE10C">
      <w:start w:val="1"/>
      <w:numFmt w:val="bullet"/>
      <w:lvlText w:val=""/>
      <w:lvlJc w:val="left"/>
      <w:pPr>
        <w:ind w:left="6480" w:hanging="360"/>
      </w:pPr>
      <w:rPr>
        <w:rFonts w:ascii="Wingdings" w:hAnsi="Wingdings" w:hint="default"/>
      </w:rPr>
    </w:lvl>
  </w:abstractNum>
  <w:num w:numId="1" w16cid:durableId="1420563107">
    <w:abstractNumId w:val="24"/>
  </w:num>
  <w:num w:numId="2" w16cid:durableId="1518813373">
    <w:abstractNumId w:val="1"/>
  </w:num>
  <w:num w:numId="3" w16cid:durableId="410543755">
    <w:abstractNumId w:val="13"/>
  </w:num>
  <w:num w:numId="4" w16cid:durableId="532622436">
    <w:abstractNumId w:val="18"/>
  </w:num>
  <w:num w:numId="5" w16cid:durableId="1827357610">
    <w:abstractNumId w:val="6"/>
  </w:num>
  <w:num w:numId="6" w16cid:durableId="1220020684">
    <w:abstractNumId w:val="15"/>
  </w:num>
  <w:num w:numId="7" w16cid:durableId="1086656070">
    <w:abstractNumId w:val="21"/>
  </w:num>
  <w:num w:numId="8" w16cid:durableId="916086637">
    <w:abstractNumId w:val="17"/>
  </w:num>
  <w:num w:numId="9" w16cid:durableId="1298683607">
    <w:abstractNumId w:val="8"/>
  </w:num>
  <w:num w:numId="10" w16cid:durableId="207037145">
    <w:abstractNumId w:val="20"/>
  </w:num>
  <w:num w:numId="11" w16cid:durableId="884027281">
    <w:abstractNumId w:val="0"/>
  </w:num>
  <w:num w:numId="12" w16cid:durableId="119961488">
    <w:abstractNumId w:val="16"/>
  </w:num>
  <w:num w:numId="13" w16cid:durableId="270673300">
    <w:abstractNumId w:val="7"/>
  </w:num>
  <w:num w:numId="14" w16cid:durableId="1860005297">
    <w:abstractNumId w:val="3"/>
  </w:num>
  <w:num w:numId="15" w16cid:durableId="469638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9022942">
    <w:abstractNumId w:val="12"/>
  </w:num>
  <w:num w:numId="17" w16cid:durableId="1199901414">
    <w:abstractNumId w:val="2"/>
  </w:num>
  <w:num w:numId="18" w16cid:durableId="1253052190">
    <w:abstractNumId w:val="23"/>
  </w:num>
  <w:num w:numId="19" w16cid:durableId="1657103369">
    <w:abstractNumId w:val="14"/>
  </w:num>
  <w:num w:numId="20" w16cid:durableId="1335842542">
    <w:abstractNumId w:val="19"/>
  </w:num>
  <w:num w:numId="21" w16cid:durableId="1455951670">
    <w:abstractNumId w:val="11"/>
  </w:num>
  <w:num w:numId="22" w16cid:durableId="697237741">
    <w:abstractNumId w:val="22"/>
  </w:num>
  <w:num w:numId="23" w16cid:durableId="1617441498">
    <w:abstractNumId w:val="4"/>
  </w:num>
  <w:num w:numId="24" w16cid:durableId="1386640320">
    <w:abstractNumId w:val="9"/>
  </w:num>
  <w:num w:numId="25" w16cid:durableId="1099986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AB"/>
    <w:rsid w:val="00011F20"/>
    <w:rsid w:val="00052788"/>
    <w:rsid w:val="000F49A1"/>
    <w:rsid w:val="00120016"/>
    <w:rsid w:val="001217E1"/>
    <w:rsid w:val="00126F66"/>
    <w:rsid w:val="00134725"/>
    <w:rsid w:val="00142A40"/>
    <w:rsid w:val="001647DB"/>
    <w:rsid w:val="001A5E27"/>
    <w:rsid w:val="001A7963"/>
    <w:rsid w:val="001D4194"/>
    <w:rsid w:val="00211CCD"/>
    <w:rsid w:val="002912AA"/>
    <w:rsid w:val="002B4D35"/>
    <w:rsid w:val="00371794"/>
    <w:rsid w:val="003837EF"/>
    <w:rsid w:val="00385B9E"/>
    <w:rsid w:val="00394117"/>
    <w:rsid w:val="003C5E56"/>
    <w:rsid w:val="003E5958"/>
    <w:rsid w:val="00431D19"/>
    <w:rsid w:val="00434DAF"/>
    <w:rsid w:val="004846CC"/>
    <w:rsid w:val="004C31EA"/>
    <w:rsid w:val="004F3EA2"/>
    <w:rsid w:val="00552DCC"/>
    <w:rsid w:val="005B2DC9"/>
    <w:rsid w:val="005C04CB"/>
    <w:rsid w:val="0060297C"/>
    <w:rsid w:val="0064691A"/>
    <w:rsid w:val="006768A7"/>
    <w:rsid w:val="006E13BE"/>
    <w:rsid w:val="006E3851"/>
    <w:rsid w:val="006F6136"/>
    <w:rsid w:val="00713488"/>
    <w:rsid w:val="00720805"/>
    <w:rsid w:val="00785EAB"/>
    <w:rsid w:val="007A1445"/>
    <w:rsid w:val="00843A97"/>
    <w:rsid w:val="008778FE"/>
    <w:rsid w:val="008B0654"/>
    <w:rsid w:val="00914603"/>
    <w:rsid w:val="009A7914"/>
    <w:rsid w:val="009D4674"/>
    <w:rsid w:val="009D570E"/>
    <w:rsid w:val="009E794C"/>
    <w:rsid w:val="00A056F1"/>
    <w:rsid w:val="00A07F8B"/>
    <w:rsid w:val="00A26373"/>
    <w:rsid w:val="00A856E3"/>
    <w:rsid w:val="00AE649E"/>
    <w:rsid w:val="00B64085"/>
    <w:rsid w:val="00B84808"/>
    <w:rsid w:val="00BB1BAC"/>
    <w:rsid w:val="00BC37C3"/>
    <w:rsid w:val="00C227A2"/>
    <w:rsid w:val="00C6461F"/>
    <w:rsid w:val="00CB1B2D"/>
    <w:rsid w:val="00D0265D"/>
    <w:rsid w:val="00D56257"/>
    <w:rsid w:val="00D65AD3"/>
    <w:rsid w:val="00DB2367"/>
    <w:rsid w:val="00DF2588"/>
    <w:rsid w:val="00E61A8A"/>
    <w:rsid w:val="00E86011"/>
    <w:rsid w:val="00E908C2"/>
    <w:rsid w:val="00EA0ECB"/>
    <w:rsid w:val="00F111F6"/>
    <w:rsid w:val="00F22E4A"/>
    <w:rsid w:val="00F47BF5"/>
    <w:rsid w:val="00F6557B"/>
    <w:rsid w:val="00F71575"/>
    <w:rsid w:val="00F8289F"/>
    <w:rsid w:val="00FA1198"/>
    <w:rsid w:val="00FF1B38"/>
    <w:rsid w:val="00FF4431"/>
    <w:rsid w:val="00F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00BC"/>
  <w15:docId w15:val="{C511F017-75BE-4EE8-8E5C-B5BFE273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CC"/>
  </w:style>
  <w:style w:type="paragraph" w:styleId="Heading1">
    <w:name w:val="heading 1"/>
    <w:basedOn w:val="Normal"/>
    <w:next w:val="Normal"/>
    <w:link w:val="Heading1Char"/>
    <w:qFormat/>
    <w:rsid w:val="006E13BE"/>
    <w:pPr>
      <w:keepNext/>
      <w:spacing w:after="0" w:line="240" w:lineRule="auto"/>
      <w:outlineLvl w:val="0"/>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CC"/>
    <w:rPr>
      <w:rFonts w:ascii="Tahoma" w:hAnsi="Tahoma" w:cs="Tahoma"/>
      <w:sz w:val="16"/>
      <w:szCs w:val="16"/>
    </w:rPr>
  </w:style>
  <w:style w:type="paragraph" w:styleId="NoSpacing">
    <w:name w:val="No Spacing"/>
    <w:uiPriority w:val="1"/>
    <w:qFormat/>
    <w:rsid w:val="004846CC"/>
    <w:pPr>
      <w:spacing w:after="0" w:line="240" w:lineRule="auto"/>
    </w:p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4846CC"/>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120016"/>
  </w:style>
  <w:style w:type="paragraph" w:styleId="NormalWeb">
    <w:name w:val="Normal (Web)"/>
    <w:basedOn w:val="Normal"/>
    <w:uiPriority w:val="99"/>
    <w:unhideWhenUsed/>
    <w:rsid w:val="001217E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E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649E"/>
    <w:rPr>
      <w:color w:val="0000FF"/>
      <w:u w:val="single"/>
    </w:rPr>
  </w:style>
  <w:style w:type="paragraph" w:customStyle="1" w:styleId="xmsonormal">
    <w:name w:val="x_msonormal"/>
    <w:basedOn w:val="Normal"/>
    <w:rsid w:val="00AE649E"/>
    <w:pPr>
      <w:spacing w:before="100" w:beforeAutospacing="1" w:after="100" w:afterAutospacing="1" w:line="240" w:lineRule="auto"/>
    </w:pPr>
    <w:rPr>
      <w:rFonts w:ascii="Times New Roman" w:eastAsia="Times New Roman" w:hAnsi="Times New Roman" w:cs="Times New Roman"/>
      <w:sz w:val="24"/>
      <w:szCs w:val="24"/>
      <w:lang w:val="cy-GB" w:eastAsia="en-GB"/>
    </w:rPr>
  </w:style>
  <w:style w:type="paragraph" w:styleId="PlainText">
    <w:name w:val="Plain Text"/>
    <w:basedOn w:val="Normal"/>
    <w:link w:val="PlainTextChar"/>
    <w:uiPriority w:val="99"/>
    <w:unhideWhenUsed/>
    <w:rsid w:val="00AE649E"/>
    <w:pPr>
      <w:spacing w:after="0" w:line="240" w:lineRule="auto"/>
    </w:pPr>
    <w:rPr>
      <w:rFonts w:ascii="Calibri" w:hAnsi="Calibri" w:cs="Times New Roman"/>
      <w:lang w:val="cy-GB"/>
    </w:rPr>
  </w:style>
  <w:style w:type="character" w:customStyle="1" w:styleId="PlainTextChar">
    <w:name w:val="Plain Text Char"/>
    <w:basedOn w:val="DefaultParagraphFont"/>
    <w:link w:val="PlainText"/>
    <w:uiPriority w:val="99"/>
    <w:rsid w:val="00AE649E"/>
    <w:rPr>
      <w:rFonts w:ascii="Calibri" w:hAnsi="Calibri" w:cs="Times New Roman"/>
      <w:lang w:val="cy-GB"/>
    </w:rPr>
  </w:style>
  <w:style w:type="paragraph" w:customStyle="1" w:styleId="Default">
    <w:name w:val="Default"/>
    <w:rsid w:val="00AE649E"/>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AE649E"/>
  </w:style>
  <w:style w:type="character" w:customStyle="1" w:styleId="Heading1Char">
    <w:name w:val="Heading 1 Char"/>
    <w:basedOn w:val="DefaultParagraphFont"/>
    <w:link w:val="Heading1"/>
    <w:rsid w:val="006E13BE"/>
    <w:rPr>
      <w:rFonts w:ascii="Times New Roman" w:eastAsia="Times New Roman" w:hAnsi="Times New Roman" w:cs="Times New Roman"/>
      <w:b/>
      <w:bCs/>
      <w:sz w:val="24"/>
      <w:szCs w:val="24"/>
      <w:lang w:eastAsia="en-GB"/>
    </w:rPr>
  </w:style>
  <w:style w:type="paragraph" w:styleId="Subtitle">
    <w:name w:val="Subtitle"/>
    <w:basedOn w:val="Normal"/>
    <w:link w:val="SubtitleChar"/>
    <w:qFormat/>
    <w:rsid w:val="006E13BE"/>
    <w:pPr>
      <w:spacing w:after="0" w:line="240" w:lineRule="auto"/>
      <w:jc w:val="center"/>
    </w:pPr>
    <w:rPr>
      <w:rFonts w:ascii="Times New Roman" w:eastAsia="Times New Roman" w:hAnsi="Times New Roman" w:cs="Times New Roman"/>
      <w:b/>
      <w:bCs/>
      <w:sz w:val="28"/>
      <w:szCs w:val="24"/>
      <w:lang w:eastAsia="en-GB"/>
    </w:rPr>
  </w:style>
  <w:style w:type="character" w:customStyle="1" w:styleId="SubtitleChar">
    <w:name w:val="Subtitle Char"/>
    <w:basedOn w:val="DefaultParagraphFont"/>
    <w:link w:val="Subtitle"/>
    <w:rsid w:val="006E13BE"/>
    <w:rPr>
      <w:rFonts w:ascii="Times New Roman" w:eastAsia="Times New Roman" w:hAnsi="Times New Roman" w:cs="Times New Roman"/>
      <w:b/>
      <w:bCs/>
      <w:sz w:val="28"/>
      <w:szCs w:val="24"/>
      <w:lang w:eastAsia="en-GB"/>
    </w:rPr>
  </w:style>
  <w:style w:type="character" w:customStyle="1" w:styleId="apple-converted-space">
    <w:name w:val="apple-converted-space"/>
    <w:basedOn w:val="DefaultParagraphFont"/>
    <w:rsid w:val="006E13BE"/>
  </w:style>
  <w:style w:type="character" w:customStyle="1" w:styleId="apple-style-span">
    <w:name w:val="apple-style-span"/>
    <w:basedOn w:val="DefaultParagraphFont"/>
    <w:rsid w:val="006E13BE"/>
  </w:style>
  <w:style w:type="paragraph" w:styleId="Footer">
    <w:name w:val="footer"/>
    <w:basedOn w:val="Normal"/>
    <w:link w:val="FooterChar"/>
    <w:uiPriority w:val="99"/>
    <w:rsid w:val="006E13BE"/>
    <w:pPr>
      <w:tabs>
        <w:tab w:val="center" w:pos="4153"/>
        <w:tab w:val="right" w:pos="8306"/>
      </w:tabs>
      <w:spacing w:after="0" w:line="240" w:lineRule="auto"/>
    </w:pPr>
    <w:rPr>
      <w:rFonts w:ascii="Times New Roman" w:eastAsia="Times New Roman" w:hAnsi="Times New Roman" w:cs="Times New Roman"/>
      <w:sz w:val="24"/>
      <w:szCs w:val="24"/>
      <w:lang w:val="x-none" w:eastAsia="en-GB"/>
    </w:rPr>
  </w:style>
  <w:style w:type="character" w:customStyle="1" w:styleId="FooterChar">
    <w:name w:val="Footer Char"/>
    <w:basedOn w:val="DefaultParagraphFont"/>
    <w:link w:val="Footer"/>
    <w:uiPriority w:val="99"/>
    <w:rsid w:val="006E13BE"/>
    <w:rPr>
      <w:rFonts w:ascii="Times New Roman" w:eastAsia="Times New Roman" w:hAnsi="Times New Roman" w:cs="Times New Roman"/>
      <w:sz w:val="24"/>
      <w:szCs w:val="24"/>
      <w:lang w:val="x-none" w:eastAsia="en-GB"/>
    </w:rPr>
  </w:style>
  <w:style w:type="character" w:styleId="PageNumber">
    <w:name w:val="page number"/>
    <w:basedOn w:val="DefaultParagraphFont"/>
    <w:rsid w:val="006E13BE"/>
  </w:style>
  <w:style w:type="paragraph" w:styleId="Header">
    <w:name w:val="header"/>
    <w:basedOn w:val="Normal"/>
    <w:link w:val="HeaderChar"/>
    <w:rsid w:val="006E13BE"/>
    <w:pPr>
      <w:tabs>
        <w:tab w:val="center" w:pos="4513"/>
        <w:tab w:val="right" w:pos="9026"/>
      </w:tabs>
      <w:spacing w:after="0" w:line="240" w:lineRule="auto"/>
    </w:pPr>
    <w:rPr>
      <w:rFonts w:ascii="Times New Roman" w:eastAsia="Times New Roman" w:hAnsi="Times New Roman" w:cs="Times New Roman"/>
      <w:sz w:val="24"/>
      <w:szCs w:val="24"/>
      <w:lang w:val="x-none" w:eastAsia="en-GB"/>
    </w:rPr>
  </w:style>
  <w:style w:type="character" w:customStyle="1" w:styleId="HeaderChar">
    <w:name w:val="Header Char"/>
    <w:basedOn w:val="DefaultParagraphFont"/>
    <w:link w:val="Header"/>
    <w:rsid w:val="006E13BE"/>
    <w:rPr>
      <w:rFonts w:ascii="Times New Roman" w:eastAsia="Times New Roman" w:hAnsi="Times New Roman" w:cs="Times New Roman"/>
      <w:sz w:val="24"/>
      <w:szCs w:val="24"/>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8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3" ma:contentTypeDescription="Create a new document." ma:contentTypeScope="" ma:versionID="a3539d835922ed94a555c7b7748a986f">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353119e6b28492eb1311b7fd9e0201a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f6171c-7fe8-41ed-a8d5-cead0980f9e4">
      <UserInfo>
        <DisplayName>Donna Hughes</DisplayName>
        <AccountId>25</AccountId>
        <AccountType/>
      </UserInfo>
      <UserInfo>
        <DisplayName>Adam Bishop</DisplayName>
        <AccountId>11</AccountId>
        <AccountType/>
      </UserInfo>
      <UserInfo>
        <DisplayName>Helen Williams</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9F14C-9692-4C3D-8A78-F9CC326E5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5A560-D16C-41D2-BB2E-DD6520605FCA}">
  <ds:schemaRefs>
    <ds:schemaRef ds:uri="http://schemas.microsoft.com/office/2006/metadata/properties"/>
    <ds:schemaRef ds:uri="http://schemas.microsoft.com/office/infopath/2007/PartnerControls"/>
    <ds:schemaRef ds:uri="57f6171c-7fe8-41ed-a8d5-cead0980f9e4"/>
  </ds:schemaRefs>
</ds:datastoreItem>
</file>

<file path=customXml/itemProps3.xml><?xml version="1.0" encoding="utf-8"?>
<ds:datastoreItem xmlns:ds="http://schemas.openxmlformats.org/officeDocument/2006/customXml" ds:itemID="{2669A2E7-07C3-4B35-9424-E3096BA9F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12655</Characters>
  <Application>Microsoft Office Word</Application>
  <DocSecurity>0</DocSecurity>
  <Lines>105</Lines>
  <Paragraphs>29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Cara Roberts</cp:lastModifiedBy>
  <cp:revision>3</cp:revision>
  <dcterms:created xsi:type="dcterms:W3CDTF">2022-04-08T11:16:00Z</dcterms:created>
  <dcterms:modified xsi:type="dcterms:W3CDTF">2022-04-08T11:19:00Z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ies>
</file>